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FC1535">
      <w:pPr>
        <w:spacing w:before="480" w:after="120"/>
        <w:jc w:val="center"/>
      </w:pPr>
      <w:r>
        <w:rPr>
          <w:rFonts w:ascii="Times New Roman" w:hAnsi="Times New Roman" w:eastAsia="SimHei"/>
          <w:b/>
          <w:sz w:val="44"/>
        </w:rPr>
        <w:t>数字经济与高端制造业融合创新</w:t>
      </w:r>
      <w:r>
        <w:rPr>
          <w:rFonts w:ascii="Times New Roman" w:hAnsi="Times New Roman" w:eastAsia="SimHei"/>
          <w:b/>
          <w:sz w:val="44"/>
        </w:rPr>
        <w:br w:type="textWrapping"/>
      </w:r>
      <w:r>
        <w:rPr>
          <w:rFonts w:ascii="Times New Roman" w:hAnsi="Times New Roman" w:eastAsia="SimHei"/>
          <w:b/>
          <w:sz w:val="44"/>
        </w:rPr>
        <w:t>发展机制研究及对策建议</w:t>
      </w:r>
    </w:p>
    <w:p w14:paraId="2E081FF1">
      <w:pPr>
        <w:spacing w:after="360"/>
        <w:jc w:val="center"/>
      </w:pPr>
      <w:r>
        <w:rPr>
          <w:rFonts w:ascii="Times New Roman" w:hAnsi="Times New Roman" w:eastAsia="楷体"/>
          <w:b w:val="0"/>
          <w:sz w:val="30"/>
        </w:rPr>
        <w:t>——以杭州市钱塘区为分析对象</w:t>
      </w:r>
    </w:p>
    <w:p w14:paraId="36663A5B">
      <w:bookmarkStart w:id="0" w:name="_GoBack"/>
      <w:bookmarkEnd w:id="0"/>
      <w:r>
        <w:br w:type="page"/>
      </w:r>
    </w:p>
    <w:p w14:paraId="1BF368B8">
      <w:pPr>
        <w:pStyle w:val="2"/>
      </w:pPr>
      <w:r>
        <w:t>摘要</w:t>
      </w:r>
    </w:p>
    <w:p w14:paraId="5EBB478A">
      <w:pPr>
        <w:spacing w:line="360" w:lineRule="auto"/>
        <w:ind w:firstLine="480" w:firstLineChars="200"/>
      </w:pPr>
      <w:r>
        <w:rPr>
          <w:rFonts w:ascii="Times New Roman" w:hAnsi="Times New Roman" w:eastAsia="SimSun"/>
          <w:b w:val="0"/>
          <w:color w:val="000000"/>
          <w:sz w:val="24"/>
        </w:rPr>
        <w:t>“十五五”时期，数字经济与实体经济深度融合已从技术导入进入机制重构阶段。本报告以杭州市钱塘区这一杭州制造业主平台为对象，遵循“战略目标—资源底座—场景应用—机制识别—路径设计—政策闭环”框架，综合运用政策文本分析、四级统计比较、同花顺iFinD上市公司微观证据、典型产业诊断和比较案例方法，刻画融合创新基础，识别数据要素激活、场景牵引、企业能力重构、链群协同、政策适配五类机制，构建绩效评价体系并诊断堵点，提出分层路径与“诊断—实施—评估—迭代”闭环政策建议。研究发现：钱塘区2025年地区生产总值达1501.20亿元，数字经济核心产业增加值214.08亿元、占比提升至14.3%，已形成厚实制造底座和梯度智能工厂体系，但存在数字产业“偏硬”、公共技术平台不足、产业链数据流通不畅、中小企业转型能力不均、政策碎片化等堵点。报告建议以“场景包＋能力包＋服务包”分层供给为抓手，推动融合从单点改造走向链群协同、从项目扶持走向机制治理。</w:t>
      </w:r>
    </w:p>
    <w:p w14:paraId="37D48AA9">
      <w:pPr>
        <w:spacing w:line="360" w:lineRule="auto"/>
        <w:ind w:firstLine="480" w:firstLineChars="200"/>
      </w:pPr>
      <w:r>
        <w:rPr>
          <w:rFonts w:ascii="Times New Roman" w:hAnsi="Times New Roman" w:eastAsia="SimSun"/>
          <w:b w:val="0"/>
          <w:color w:val="000000"/>
          <w:sz w:val="24"/>
        </w:rPr>
        <w:t>关键词：数字经济；高端制造业；数实融合；创新机制；钱塘区</w:t>
      </w:r>
    </w:p>
    <w:p w14:paraId="0C3DC269">
      <w:pPr>
        <w:pStyle w:val="2"/>
      </w:pPr>
      <w:r>
        <w:t>一、研究背景、问题提出与研究设计</w:t>
      </w:r>
    </w:p>
    <w:p w14:paraId="2D4EFC4B">
      <w:pPr>
        <w:pStyle w:val="3"/>
      </w:pPr>
      <w:r>
        <w:t>（一）研究背景：数实融合从“转型议题”上升为“机制问题”</w:t>
      </w:r>
    </w:p>
    <w:p w14:paraId="5D94516E">
      <w:pPr>
        <w:spacing w:line="360" w:lineRule="auto"/>
        <w:ind w:firstLine="480" w:firstLineChars="200"/>
      </w:pPr>
      <w:r>
        <w:rPr>
          <w:rFonts w:ascii="Times New Roman" w:hAnsi="Times New Roman" w:eastAsia="SimSun"/>
          <w:b w:val="0"/>
          <w:color w:val="000000"/>
          <w:sz w:val="24"/>
        </w:rPr>
        <w:t>数字技术与制造业的关系正在发生阶段性变化。《“十四五”数字经济发展规划》将数字经济界定为以数据资源为关键要素、以现代信息网络为主要载体、以全要素数字化转型为重要推动力的新经济形态；“十五五”规划纲要进一步要求强化算力、算法、数据高效供给，促进数字经济和实体经济深度融合，推进制造业“智改数转网联”。这意味着，“十五五”的核心命题不再是论证数字化的必要性，而是回答数字技术以何种机制嵌入产业链、创新链和治理链，并稳定转化为高端制造业的创新绩效。</w:t>
      </w:r>
    </w:p>
    <w:p w14:paraId="090B1171">
      <w:pPr>
        <w:spacing w:line="360" w:lineRule="auto"/>
        <w:ind w:firstLine="480" w:firstLineChars="200"/>
      </w:pPr>
      <w:r>
        <w:rPr>
          <w:rFonts w:ascii="Times New Roman" w:hAnsi="Times New Roman" w:eastAsia="SimSun"/>
          <w:b w:val="0"/>
          <w:color w:val="000000"/>
          <w:sz w:val="24"/>
        </w:rPr>
        <w:t>融合纵深已具备坚实总量基础。据中国信息通信研究院测算，2024年我国数字经济规模59.2万亿元、占国内生产总值比重43.8%；据国家统计局核算，2024年数字经济核心产业增加值140891亿元、占比10.5%。工业和信息化部数据显示，全国已累计培育421家国家级智能制造示范工厂、超4000家5G工厂、72家“灯塔工厂”，重点工业企业数字化研发设计工具普及率、关键工序数控化率分别达80.1%和62.9%，工业互联网覆盖全部41个工业大类。基础设施和标杆工厂的“点”已经建成，主要矛盾转向跨企业、跨环节、跨产业链的“线”和“面”上协同，机制设计的重要性显著上升。</w:t>
      </w:r>
    </w:p>
    <w:p w14:paraId="2B7A419E">
      <w:pPr>
        <w:spacing w:line="360" w:lineRule="auto"/>
        <w:ind w:firstLine="480" w:firstLineChars="200"/>
      </w:pPr>
      <w:r>
        <w:rPr>
          <w:rFonts w:ascii="Times New Roman" w:hAnsi="Times New Roman" w:eastAsia="SimSun"/>
          <w:b w:val="0"/>
          <w:color w:val="000000"/>
          <w:sz w:val="24"/>
        </w:rPr>
        <w:t>省、市战略为区级机制创新提供直接牵引。浙江省2025年数字经济核心产业增加值12268亿元、增长10.2%，占地区生产总值比重13.0%；杭州市2025年达6780亿元、增长9.3%，占比29.5%，规模以上人工智能核心产业营业收入4600亿元、增长23.1%，并构建“轻量化场景应用—市级AI工厂—省级未来工厂—国家级智能工厂”梯度体系。钱塘区以全市约3%土地贡献约20%规模以上工业产值，正处在国家、省、市战略能否落到产业链和企业端的关键节点。</w:t>
      </w:r>
    </w:p>
    <w:p w14:paraId="667747EF">
      <w:pPr>
        <w:pStyle w:val="3"/>
      </w:pPr>
      <w:r>
        <w:t>（二）问题提出</w:t>
      </w:r>
    </w:p>
    <w:p w14:paraId="4487CC99">
      <w:pPr>
        <w:spacing w:line="360" w:lineRule="auto"/>
        <w:ind w:firstLine="480" w:firstLineChars="200"/>
      </w:pPr>
      <w:r>
        <w:rPr>
          <w:rFonts w:ascii="Times New Roman" w:hAnsi="Times New Roman" w:eastAsia="SimSun"/>
          <w:b w:val="0"/>
          <w:color w:val="000000"/>
          <w:sz w:val="24"/>
        </w:rPr>
        <w:t>钱塘区集国家级经开区、高新区、综保区、自贸区等高能级平台于一体，集聚“中国医药港”“中国芯谷”等产业地标，2025年规模以上工业“车药芯化智”五大主导产业（剔重）产值达3570.15亿元。制造业链条长、数据分散在企业、园区、平台和部门之间，单个企业“智改数转”难以自动转化为产业链协同创新。本报告聚焦三个问题：其一，融合创新“靠什么发生”，即数字经济通过哪些可识别、可组织的机制作用于高端制造；其二，“现状如何、卡在哪里”，即资源底座、场景储备和企业能力处于什么水平，堵点何在；其三，“如何组织推进”，即面向链主企业、中小企业和园区平台应分别设计什么路径，政府如何形成可投入、可评估、可迭代的政策闭环。</w:t>
      </w:r>
    </w:p>
    <w:p w14:paraId="48B68C00">
      <w:pPr>
        <w:pStyle w:val="3"/>
      </w:pPr>
      <w:r>
        <w:t>（三）研究设计：思路、方法与数据来源</w:t>
      </w:r>
    </w:p>
    <w:p w14:paraId="74498D15">
      <w:pPr>
        <w:spacing w:line="360" w:lineRule="auto"/>
        <w:ind w:firstLine="480" w:firstLineChars="200"/>
      </w:pPr>
      <w:r>
        <w:rPr>
          <w:rFonts w:ascii="Times New Roman" w:hAnsi="Times New Roman" w:eastAsia="SimSun"/>
          <w:b w:val="0"/>
          <w:color w:val="000000"/>
          <w:sz w:val="24"/>
        </w:rPr>
        <w:t>总体思路是以规划目标为牵引、以链群为对象、以资源整合为抓手、以场景落地为检验、以绩效闭环为导向，构建“战略目标—资源底座—场景应用—机制识别—路径设计—政策闭环”框架，把数字经济视为重组数据、算力、算法、工业软件、平台、资本、人才和规则的系统工程。方法上采用“政策解析＋场景诊断＋机制识别＋路径推演＋闭环评估”组合：政策文本分析与目标分解、四级统计数据比较、依托同花顺iFinD提取上市公司年报微观证据、以集成电路产业人大调研报告为样本的典型产业诊断、国内外比较案例研究。</w:t>
      </w:r>
    </w:p>
    <w:p w14:paraId="5EDD9D9F">
      <w:pPr>
        <w:spacing w:line="360" w:lineRule="auto"/>
        <w:ind w:firstLine="480" w:firstLineChars="200"/>
      </w:pPr>
      <w:r>
        <w:rPr>
          <w:rFonts w:ascii="Times New Roman" w:hAnsi="Times New Roman" w:eastAsia="SimSun"/>
          <w:b w:val="0"/>
          <w:color w:val="000000"/>
          <w:sz w:val="24"/>
        </w:rPr>
        <w:t>数据来源分三类：一是国家统计局、工业和信息化部、国家互联网信息办公室及浙、杭、钱塘三级统计公报和经信部门公开数据；二是各级规划、部门建议提案答复和产业调研材料；三是同花顺iFinD上市公司财务数据。对公开渠道无法取得、确需部门协调、企业调研或iFinD批量续采的数据，统一以红色字体标注“待补充采集”，并在文末汇总，不以估算值替代真实数据。</w:t>
      </w:r>
    </w:p>
    <w:p w14:paraId="1F0F3C69">
      <w:pPr>
        <w:pStyle w:val="2"/>
      </w:pPr>
      <w:r>
        <w:t>二、融合创新的理论基础与分析框架</w:t>
      </w:r>
    </w:p>
    <w:p w14:paraId="7B27E1EA">
      <w:pPr>
        <w:pStyle w:val="3"/>
      </w:pPr>
      <w:r>
        <w:t>（一）核心概念界定</w:t>
      </w:r>
    </w:p>
    <w:p w14:paraId="50CB437D">
      <w:pPr>
        <w:spacing w:line="360" w:lineRule="auto"/>
        <w:ind w:firstLine="480" w:firstLineChars="200"/>
      </w:pPr>
      <w:r>
        <w:rPr>
          <w:rFonts w:ascii="Times New Roman" w:hAnsi="Times New Roman" w:eastAsia="SimSun"/>
          <w:b w:val="0"/>
          <w:color w:val="000000"/>
          <w:sz w:val="24"/>
        </w:rPr>
        <w:t>1.数字经济的“核心产业—融合部分”二分口径。按国家统计局分类，数字经济核心产业对应数字产业化，包括数字产品制造业、数字产品服务业、数字技术应用业和数字要素驱动业；产业数字化是数字技术与实体经济融合的增量。本报告严格区分窄口径核心产业增加值与宽口径数字经济规模；对制造业大区钱塘而言，更应关注产业数字化，即数字技术对研发、生产和管理效率的改造。</w:t>
      </w:r>
    </w:p>
    <w:p w14:paraId="0521F520">
      <w:pPr>
        <w:spacing w:line="360" w:lineRule="auto"/>
        <w:ind w:firstLine="480" w:firstLineChars="200"/>
      </w:pPr>
      <w:r>
        <w:rPr>
          <w:rFonts w:ascii="Times New Roman" w:hAnsi="Times New Roman" w:eastAsia="SimSun"/>
          <w:b w:val="0"/>
          <w:color w:val="000000"/>
          <w:sz w:val="24"/>
        </w:rPr>
        <w:t>2.高端制造业。指高技术密度、高附加值、高价值链控制力的制造业集合，统计上与高技术制造业、战略性新兴产业、高端装备制造业交叉。结合钱塘实际，本报告以生命健康、集成电路、新能源汽车及零部件、智能物联四大领域为重点，并与区级“车药芯化智”口径衔接。</w:t>
      </w:r>
    </w:p>
    <w:p w14:paraId="58929EB3">
      <w:pPr>
        <w:spacing w:line="360" w:lineRule="auto"/>
        <w:ind w:firstLine="480" w:firstLineChars="200"/>
      </w:pPr>
      <w:r>
        <w:rPr>
          <w:rFonts w:ascii="Times New Roman" w:hAnsi="Times New Roman" w:eastAsia="SimSun"/>
          <w:b w:val="0"/>
          <w:color w:val="000000"/>
          <w:sz w:val="24"/>
        </w:rPr>
        <w:t>3.融合创新发展机制。指数字经济作用于高端制造创新过程的稳定因果通道和组织安排，具有可重复、可组织、可评估特征，回答“资源经由什么通道、由谁组织、在什么场景、转化为什么绩效”，区别于一次性补贴或单点改造。</w:t>
      </w:r>
    </w:p>
    <w:p w14:paraId="63F0C41E">
      <w:pPr>
        <w:pStyle w:val="3"/>
      </w:pPr>
      <w:r>
        <w:t>（二）国内外研究脉络</w:t>
      </w:r>
    </w:p>
    <w:p w14:paraId="20403618">
      <w:pPr>
        <w:spacing w:line="360" w:lineRule="auto"/>
        <w:ind w:firstLine="480" w:firstLineChars="200"/>
      </w:pPr>
      <w:r>
        <w:rPr>
          <w:rFonts w:ascii="Times New Roman" w:hAnsi="Times New Roman" w:eastAsia="SimSun"/>
          <w:b w:val="0"/>
          <w:color w:val="000000"/>
          <w:sz w:val="24"/>
        </w:rPr>
        <w:t>国际研究提供了技术—组织范式。工业4.0研究强调以信息物理系统、标准体系和生产网络重构竞争优势；数字化转型研究（Vial，2019）指出数字技术必须嵌入组织流程、价值路径和商业模式才能形成真实绩效；人工智能经济学（Agrawal等，2018）把人工智能视为降低预测成本、重塑决策分工的通用目的技术；数字创新管理研究（Nambisan等，2017）强调平台协同、数据驱动创新和分布式治理。这些研究解释了技术与组织变革的一般规律，但对地方政府如何把战略、平台、公共数据、场景、金融和人才组织成闭环关注不足。</w:t>
      </w:r>
    </w:p>
    <w:p w14:paraId="51A58A3D">
      <w:pPr>
        <w:spacing w:line="360" w:lineRule="auto"/>
        <w:ind w:firstLine="480" w:firstLineChars="200"/>
      </w:pPr>
      <w:r>
        <w:rPr>
          <w:rFonts w:ascii="Times New Roman" w:hAnsi="Times New Roman" w:eastAsia="SimSun"/>
          <w:b w:val="0"/>
          <w:color w:val="000000"/>
          <w:sz w:val="24"/>
        </w:rPr>
        <w:t>国内研究沿三条线索展开：数字经济通过技术渗透、效率优化、结构升级和空间溢出赋能制造业高质量发展；新一代智能制造研究（Zhou等，2018）强调人工智能与先进制造技术融合并贯穿全生命周期；产业政策研究关注工业互联网、产业大脑、链长制和中小企业数字化。既有研究缺少面向特定城区、贯通资源底座、场景清单、作用机制和政策闭环的落地分析，尤其缺少对“数字产业占比不高但融合需求旺盛”的制造业大区的专门研究，本报告力图弥补这一缺口。</w:t>
      </w:r>
    </w:p>
    <w:p w14:paraId="08DBEF1F">
      <w:pPr>
        <w:pStyle w:val="3"/>
      </w:pPr>
      <w:r>
        <w:t>（三）“六环节—五机制”分析框架</w:t>
      </w:r>
    </w:p>
    <w:p w14:paraId="4858C70E">
      <w:pPr>
        <w:spacing w:line="360" w:lineRule="auto"/>
        <w:ind w:firstLine="480" w:firstLineChars="200"/>
      </w:pPr>
      <w:r>
        <w:rPr>
          <w:rFonts w:ascii="Times New Roman" w:hAnsi="Times New Roman" w:eastAsia="SimSun"/>
          <w:b w:val="0"/>
          <w:color w:val="000000"/>
          <w:sz w:val="24"/>
        </w:rPr>
        <w:t>本报告构建六环节框架：战略目标环节把国家“算力—算法—数据”供给、浙江“人工智能＋产业创新”、杭州“AI工厂”梯度和钱塘产业地标逐级分解；资源底座环节盘点产业链主体、园区平台、公共数据、工业互联网、智能工厂、科研、金融、人才和政策资金；场景应用环节围绕研发设计、中试验证、生产制造、质量控制、设备运维、供应链协同、能源管理、合规风控、市场服务识别高价值场景；机制识别环节提炼五类稳定通道；路径设计环节区分链主、中小企业、园区三类主体；政策闭环环节建立“投入—实施—监测—评估—迭代”回路。</w:t>
      </w:r>
    </w:p>
    <w:p w14:paraId="7BC9226F">
      <w:pPr>
        <w:spacing w:line="360" w:lineRule="auto"/>
        <w:ind w:firstLine="480" w:firstLineChars="200"/>
      </w:pPr>
      <w:r>
        <w:rPr>
          <w:rFonts w:ascii="Times New Roman" w:hAnsi="Times New Roman" w:eastAsia="SimSun"/>
          <w:b w:val="0"/>
          <w:color w:val="000000"/>
          <w:sz w:val="24"/>
        </w:rPr>
        <w:t>五类机制构成框架中枢并在场景中耦合：数据要素激活机制解决数据能否流动，是纽带；场景牵引机制解决技术为谁所用，是入口；企业能力重构机制解决技术能否吸收，是内因；链群协同机制把个体绩效放大为集群竞争力，是放大器；政策适配机制以工具组合降低转型成本、分担试错风险，是制度保障。任一机制缺位都会形成融合瓶颈，这为第六章堵点诊断提供坐标。</w:t>
      </w:r>
    </w:p>
    <w:p w14:paraId="702318A3">
      <w:pPr>
        <w:pStyle w:val="2"/>
      </w:pPr>
      <w:r>
        <w:t>三、融合创新发展现状：国家—浙江—杭州—钱塘的四级图景</w:t>
      </w:r>
    </w:p>
    <w:p w14:paraId="3C44A668">
      <w:pPr>
        <w:pStyle w:val="3"/>
      </w:pPr>
      <w:r>
        <w:t>（一）全国：数字经济成为稳增长引擎，智能制造进入规模化推广期</w:t>
      </w:r>
    </w:p>
    <w:p w14:paraId="24B01122">
      <w:pPr>
        <w:spacing w:line="360" w:lineRule="auto"/>
        <w:ind w:firstLine="480" w:firstLineChars="200"/>
      </w:pPr>
      <w:r>
        <w:rPr>
          <w:rFonts w:ascii="Times New Roman" w:hAnsi="Times New Roman" w:eastAsia="SimSun"/>
          <w:b w:val="0"/>
          <w:color w:val="000000"/>
          <w:sz w:val="24"/>
        </w:rPr>
        <w:t>数字产业化底盘在高基数上巩固。2024年全国数字经济规模59.2万亿元、占比43.8%、较上年提高1个百分点，名义增速高于同期国内生产总值名义增速5.5个百分点；核心产业增加值140891亿元、占比10.5%，其中数字技术应用业61928亿元。国家互联网信息办公室《国家信息化发展报告（2025年）》显示，2025年核心产业增加值占比超过10.5%，数字产业收入39.6万亿元、增长8.8%。智能制造形成梯度供给：截至2024年底累计培育421家国家级智能制造示范工厂、超4000家5G工厂、万余家省级数字化车间和智能工厂，72家“灯塔工厂”占全球42%；工业互联网融入49个国民经济大类。总体特征是“点上标杆已成、线上协同待通、面上融合待深”。</w:t>
      </w:r>
    </w:p>
    <w:p w14:paraId="31536051">
      <w:pPr>
        <w:pStyle w:val="3"/>
      </w:pPr>
      <w:r>
        <w:t>（二）浙江：数字经济“一号工程”深化，先进制造业集群成势</w:t>
      </w:r>
    </w:p>
    <w:p w14:paraId="718DA941">
      <w:pPr>
        <w:spacing w:line="360" w:lineRule="auto"/>
        <w:ind w:firstLine="480" w:firstLineChars="200"/>
      </w:pPr>
      <w:r>
        <w:rPr>
          <w:rFonts w:ascii="Times New Roman" w:hAnsi="Times New Roman" w:eastAsia="SimSun"/>
          <w:b w:val="0"/>
          <w:color w:val="000000"/>
          <w:sz w:val="24"/>
        </w:rPr>
        <w:t>2025年全省地区生产总值94545亿元、增长5.5%；数字经济核心产业增加值12268亿元、增长10.2%、占比13.0%，其中规模以上核心产业制造业增加值增长11.3%、高于规模以上工业4.4个百分点；高技术制造业、装备制造业、战略性新兴产业增加值分别增长12.4%、10.5%和10.0%。2024年核心产业增加值11060亿元、增长8.1%，宽口径数字经济占地区生产总值比重52.5%，形成智能物联、高端软件两个万亿级数字产业集群，规模以上核心产业企业突破1万家。制造业侧，浙江以“415X”集群和“智改数转”为主线，率先制定智能工厂、未来工厂标准，实现全省1.2万余家规模以上工业企业数字化改造全覆盖、超75%完成深度数字化转型；按部署，到2027年数字化研发设计工具普及率、关键工序数控化率将分别超过93%和75%，新增未来工厂80家、智能工厂（数字化车间）600家（个），为钱塘设定了梯度坐标和政策窗口。</w:t>
      </w:r>
    </w:p>
    <w:p w14:paraId="5EA0DB2D">
      <w:pPr>
        <w:pStyle w:val="3"/>
      </w:pPr>
      <w:r>
        <w:t>（三）杭州：数字经济第一城与“296X”集群双向赋能</w:t>
      </w:r>
    </w:p>
    <w:p w14:paraId="666AF507">
      <w:pPr>
        <w:spacing w:line="360" w:lineRule="auto"/>
        <w:ind w:firstLine="480" w:firstLineChars="200"/>
      </w:pPr>
      <w:r>
        <w:rPr>
          <w:rFonts w:ascii="Times New Roman" w:hAnsi="Times New Roman" w:eastAsia="SimSun"/>
          <w:b w:val="0"/>
          <w:color w:val="000000"/>
          <w:sz w:val="24"/>
        </w:rPr>
        <w:t>2025年全市地区生产总值23011亿元、增长5.2%；数字经济核心产业增加值6780亿元、增长9.3%，高于地区生产总值增速4.1个百分点，占比29.5%、占全省核心产业增加值55.3%；核心产业制造业增加值增长10.8%，规模以上人工智能核心产业营业收入4600亿元、增长23.1%。2024年核心产业增加值6305亿元、占比28.8%，营业收入20401亿元，五大产业生态圈（剔重）营业收入19025亿元。制造业融合侧，杭州启动“296X”集群培育工程，构建“轻量化场景应用—市级AI工厂—省级未来工厂—国家级智能工厂”梯度体系，以“数改券”支持中小企业轻量化转型。按《杭州市制造业加快发展三年行动计划（2025—2027年）》，到2027年引育工业垂类大模型5个，累计入选省级人工智能应用场景30项、应用标杆企业20家、服务商60家；市级AI工厂每年逐级评定不超过50家、20家、5家，分别奖励不超过80万元、200万元、500万元；同时建设城市可信数据空间和行业可信数据空间。市级政策逻辑已从“补贴设备”转向“场景、数据、模型、服务一体化供给”。</w:t>
      </w:r>
    </w:p>
    <w:p w14:paraId="68F2C627">
      <w:pPr>
        <w:pStyle w:val="3"/>
      </w:pPr>
      <w:r>
        <w:t>（四）钱塘：制造业大区的融合底座与结构特征</w:t>
      </w:r>
    </w:p>
    <w:p w14:paraId="679411C8">
      <w:pPr>
        <w:spacing w:line="360" w:lineRule="auto"/>
        <w:ind w:firstLine="480" w:firstLineChars="200"/>
      </w:pPr>
      <w:r>
        <w:rPr>
          <w:rFonts w:ascii="Times New Roman" w:hAnsi="Times New Roman" w:eastAsia="SimSun"/>
          <w:b w:val="0"/>
          <w:color w:val="000000"/>
          <w:sz w:val="24"/>
        </w:rPr>
        <w:t>经济总量稳步跨越。2025年地区生产总值首次突破1500亿元、达1501.20亿元、增长5.2%，连续两年保持5%以上增长，三次产业结构0.9∶57.3∶41.8，第二产业增加值860.22亿元；2024年为1416.82亿元、增长5.1%，人均地区生产总值17.63万元。工业底盘厚实，2025年规模以上工业增加值787.99亿元、增长5.2%，规模以上工业营业收入4468.19亿元；2024年规模以上工业总产值突破3700亿元，居全市第一、全省第四；年产值百亿元以上企业由2024年5家增至2025年6家。</w:t>
      </w:r>
    </w:p>
    <w:p w14:paraId="3644AC89">
      <w:pPr>
        <w:spacing w:line="360" w:lineRule="auto"/>
        <w:ind w:firstLine="480" w:firstLineChars="200"/>
      </w:pPr>
      <w:r>
        <w:rPr>
          <w:rFonts w:ascii="Times New Roman" w:hAnsi="Times New Roman" w:eastAsia="SimSun"/>
          <w:b w:val="0"/>
          <w:color w:val="000000"/>
          <w:sz w:val="24"/>
        </w:rPr>
        <w:t>数字经济核心产业增速快于工业大盘，但呈“制造业大区”结构。2025年核心产业增加值214.08亿元、增长8.1%，占地区生产总值比重14.3%、比2024年提高1.5个百分点，其中规模以上核心制造业增加值146.80亿元、增长5.4%；2024年核心产业增加值181.96亿元、增长10.4%、占比12.8%，核心制造业增加值141.99亿元、增长8.4%、高出全部规模以上工业4.9个百分点。横向比较有两个结构性事实：核心产业占比（14.3%）高于浙江省（13.0%）但远低于杭州市（29.5%）；核心产业中制造业部分接近七成，软件信息、平台经济、数据服务等“软环节”薄弱。这决定钱塘不能照搬“数字原生驱动”模式，而应走“制造场景牵引、数字技术嵌入”的融合驱动道路。</w:t>
      </w:r>
    </w:p>
    <w:p w14:paraId="00F1DF87">
      <w:pPr>
        <w:spacing w:line="360" w:lineRule="auto"/>
        <w:ind w:firstLine="480" w:firstLineChars="200"/>
      </w:pPr>
      <w:r>
        <w:rPr>
          <w:rFonts w:ascii="Times New Roman" w:hAnsi="Times New Roman" w:eastAsia="SimSun"/>
          <w:b w:val="0"/>
          <w:color w:val="000000"/>
          <w:sz w:val="24"/>
        </w:rPr>
        <w:t>创新投入产出居全省前列。2025年全社会研究与试验发展经费69.50亿元、占地区生产总值比重4.91%，投入强度稳居全省、全市第二；发明专利授权5378件、增长32.5%，企业发明专利授权1914件，PCT专利申请261件、增长20.5%；累计专精特新“小巨人”57家（其中重点“小巨人”10家）、省级专精特新337家、创新型中小企业809家；年末上市企业23家。2024年研究与试验发展经费66.72亿元、占比5.25%、居全省第二，创新指数182.6、居全省第三。智能制造梯度初步成型：拥有国家“卓越级智能工厂”3家、数量居全省第一，累计认定市级“未来工厂”59家、连续五年全市第一，并拥有国家级智能制造示范工厂、省级未来工厂和省级工业互联网平台；2024年年中规模以上工业企业数字化改造覆盖率已达87.69%、居全省第五，一批企业达到数字化水平2.0层次，已跨过“有没有改造”的普及阶段，进入“深不深、协不协同”的深化阶段。</w:t>
      </w:r>
    </w:p>
    <w:p w14:paraId="3A5B31A8">
      <w:pPr>
        <w:spacing w:before="120" w:after="60"/>
        <w:jc w:val="center"/>
      </w:pPr>
      <w:r>
        <w:rPr>
          <w:rFonts w:ascii="Times New Roman" w:hAnsi="Times New Roman" w:eastAsia="SimHei"/>
          <w:b/>
          <w:sz w:val="21"/>
        </w:rPr>
        <w:t>表1  数字经济与高端制造业融合发展关键指标的四级比较（2024—2025年）</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9"/>
        <w:gridCol w:w="1769"/>
        <w:gridCol w:w="1769"/>
        <w:gridCol w:w="1769"/>
        <w:gridCol w:w="1769"/>
      </w:tblGrid>
      <w:tr w14:paraId="39792575">
        <w:trPr>
          <w:jc w:val="center"/>
        </w:trPr>
        <w:tc>
          <w:tcPr>
            <w:tcW w:w="1769" w:type="dxa"/>
            <w:shd w:val="clear" w:color="auto" w:fill="D9D9D9"/>
          </w:tcPr>
          <w:p w14:paraId="1BF775E6">
            <w:pPr>
              <w:spacing w:before="40" w:after="40" w:line="240" w:lineRule="auto"/>
              <w:jc w:val="center"/>
            </w:pPr>
            <w:r>
              <w:rPr>
                <w:rFonts w:ascii="Times New Roman" w:hAnsi="Times New Roman" w:eastAsia="SimSun"/>
                <w:b/>
                <w:color w:val="000000"/>
                <w:sz w:val="20"/>
              </w:rPr>
              <w:t>指标</w:t>
            </w:r>
          </w:p>
        </w:tc>
        <w:tc>
          <w:tcPr>
            <w:tcW w:w="1769" w:type="dxa"/>
            <w:shd w:val="clear" w:color="auto" w:fill="D9D9D9"/>
          </w:tcPr>
          <w:p w14:paraId="2AD72347">
            <w:pPr>
              <w:spacing w:before="40" w:after="40" w:line="240" w:lineRule="auto"/>
              <w:jc w:val="center"/>
            </w:pPr>
            <w:r>
              <w:rPr>
                <w:rFonts w:ascii="Times New Roman" w:hAnsi="Times New Roman" w:eastAsia="SimSun"/>
                <w:b/>
                <w:color w:val="000000"/>
                <w:sz w:val="20"/>
              </w:rPr>
              <w:t>全国</w:t>
            </w:r>
          </w:p>
        </w:tc>
        <w:tc>
          <w:tcPr>
            <w:tcW w:w="1769" w:type="dxa"/>
            <w:shd w:val="clear" w:color="auto" w:fill="D9D9D9"/>
          </w:tcPr>
          <w:p w14:paraId="72E51AF1">
            <w:pPr>
              <w:spacing w:before="40" w:after="40" w:line="240" w:lineRule="auto"/>
              <w:jc w:val="center"/>
            </w:pPr>
            <w:r>
              <w:rPr>
                <w:rFonts w:ascii="Times New Roman" w:hAnsi="Times New Roman" w:eastAsia="SimSun"/>
                <w:b/>
                <w:color w:val="000000"/>
                <w:sz w:val="20"/>
              </w:rPr>
              <w:t>浙江省</w:t>
            </w:r>
          </w:p>
        </w:tc>
        <w:tc>
          <w:tcPr>
            <w:tcW w:w="1769" w:type="dxa"/>
            <w:shd w:val="clear" w:color="auto" w:fill="D9D9D9"/>
          </w:tcPr>
          <w:p w14:paraId="38DEC4F2">
            <w:pPr>
              <w:spacing w:before="40" w:after="40" w:line="240" w:lineRule="auto"/>
              <w:jc w:val="center"/>
            </w:pPr>
            <w:r>
              <w:rPr>
                <w:rFonts w:ascii="Times New Roman" w:hAnsi="Times New Roman" w:eastAsia="SimSun"/>
                <w:b/>
                <w:color w:val="000000"/>
                <w:sz w:val="20"/>
              </w:rPr>
              <w:t>杭州市</w:t>
            </w:r>
          </w:p>
        </w:tc>
        <w:tc>
          <w:tcPr>
            <w:tcW w:w="1769" w:type="dxa"/>
            <w:shd w:val="clear" w:color="auto" w:fill="D9D9D9"/>
          </w:tcPr>
          <w:p w14:paraId="33EF8B55">
            <w:pPr>
              <w:spacing w:before="40" w:after="40" w:line="240" w:lineRule="auto"/>
              <w:jc w:val="center"/>
            </w:pPr>
            <w:r>
              <w:rPr>
                <w:rFonts w:ascii="Times New Roman" w:hAnsi="Times New Roman" w:eastAsia="SimSun"/>
                <w:b/>
                <w:color w:val="000000"/>
                <w:sz w:val="20"/>
              </w:rPr>
              <w:t>钱塘区</w:t>
            </w:r>
          </w:p>
        </w:tc>
      </w:tr>
      <w:tr w14:paraId="3BD56180">
        <w:trPr>
          <w:jc w:val="center"/>
        </w:trPr>
        <w:tc>
          <w:tcPr>
            <w:tcW w:w="1769" w:type="dxa"/>
          </w:tcPr>
          <w:p w14:paraId="3977F421">
            <w:pPr>
              <w:spacing w:before="40" w:after="40" w:line="240" w:lineRule="auto"/>
              <w:jc w:val="center"/>
            </w:pPr>
            <w:r>
              <w:rPr>
                <w:rFonts w:ascii="Times New Roman" w:hAnsi="Times New Roman" w:eastAsia="SimSun"/>
                <w:b w:val="0"/>
                <w:color w:val="000000"/>
                <w:sz w:val="20"/>
              </w:rPr>
              <w:t>核心产业增加值（最新年份）</w:t>
            </w:r>
          </w:p>
        </w:tc>
        <w:tc>
          <w:tcPr>
            <w:tcW w:w="1769" w:type="dxa"/>
          </w:tcPr>
          <w:p w14:paraId="62100892">
            <w:pPr>
              <w:spacing w:before="40" w:after="40" w:line="240" w:lineRule="auto"/>
            </w:pPr>
            <w:r>
              <w:rPr>
                <w:rFonts w:ascii="Times New Roman" w:hAnsi="Times New Roman" w:eastAsia="SimSun"/>
                <w:b w:val="0"/>
                <w:color w:val="000000"/>
                <w:sz w:val="20"/>
              </w:rPr>
              <w:t>14.09万亿元（2024）</w:t>
            </w:r>
          </w:p>
        </w:tc>
        <w:tc>
          <w:tcPr>
            <w:tcW w:w="1769" w:type="dxa"/>
          </w:tcPr>
          <w:p w14:paraId="0F758421">
            <w:pPr>
              <w:spacing w:before="40" w:after="40" w:line="240" w:lineRule="auto"/>
            </w:pPr>
            <w:r>
              <w:rPr>
                <w:rFonts w:ascii="Times New Roman" w:hAnsi="Times New Roman" w:eastAsia="SimSun"/>
                <w:b w:val="0"/>
                <w:color w:val="000000"/>
                <w:sz w:val="20"/>
              </w:rPr>
              <w:t>1.2268万亿元（2025）</w:t>
            </w:r>
          </w:p>
        </w:tc>
        <w:tc>
          <w:tcPr>
            <w:tcW w:w="1769" w:type="dxa"/>
          </w:tcPr>
          <w:p w14:paraId="2D528009">
            <w:pPr>
              <w:spacing w:before="40" w:after="40" w:line="240" w:lineRule="auto"/>
            </w:pPr>
            <w:r>
              <w:rPr>
                <w:rFonts w:ascii="Times New Roman" w:hAnsi="Times New Roman" w:eastAsia="SimSun"/>
                <w:b w:val="0"/>
                <w:color w:val="000000"/>
                <w:sz w:val="20"/>
              </w:rPr>
              <w:t>6780亿元（2025）</w:t>
            </w:r>
          </w:p>
        </w:tc>
        <w:tc>
          <w:tcPr>
            <w:tcW w:w="1769" w:type="dxa"/>
          </w:tcPr>
          <w:p w14:paraId="6B4A85C0">
            <w:pPr>
              <w:spacing w:before="40" w:after="40" w:line="240" w:lineRule="auto"/>
            </w:pPr>
            <w:r>
              <w:rPr>
                <w:rFonts w:ascii="Times New Roman" w:hAnsi="Times New Roman" w:eastAsia="SimSun"/>
                <w:b w:val="0"/>
                <w:color w:val="000000"/>
                <w:sz w:val="20"/>
              </w:rPr>
              <w:t>214.08亿元（2025）</w:t>
            </w:r>
          </w:p>
        </w:tc>
      </w:tr>
      <w:tr w14:paraId="28DAAB97">
        <w:trPr>
          <w:jc w:val="center"/>
        </w:trPr>
        <w:tc>
          <w:tcPr>
            <w:tcW w:w="1769" w:type="dxa"/>
          </w:tcPr>
          <w:p w14:paraId="7DB94ACE">
            <w:pPr>
              <w:spacing w:before="40" w:after="40" w:line="240" w:lineRule="auto"/>
              <w:jc w:val="center"/>
            </w:pPr>
            <w:r>
              <w:rPr>
                <w:rFonts w:ascii="Times New Roman" w:hAnsi="Times New Roman" w:eastAsia="SimSun"/>
                <w:b w:val="0"/>
                <w:color w:val="000000"/>
                <w:sz w:val="20"/>
              </w:rPr>
              <w:t>核心产业占GDP比重</w:t>
            </w:r>
          </w:p>
        </w:tc>
        <w:tc>
          <w:tcPr>
            <w:tcW w:w="1769" w:type="dxa"/>
          </w:tcPr>
          <w:p w14:paraId="2EFC50CC">
            <w:pPr>
              <w:spacing w:before="40" w:after="40" w:line="240" w:lineRule="auto"/>
            </w:pPr>
            <w:r>
              <w:rPr>
                <w:rFonts w:ascii="Times New Roman" w:hAnsi="Times New Roman" w:eastAsia="SimSun"/>
                <w:b w:val="0"/>
                <w:color w:val="000000"/>
                <w:sz w:val="20"/>
              </w:rPr>
              <w:t>10.5%（2024）</w:t>
            </w:r>
          </w:p>
        </w:tc>
        <w:tc>
          <w:tcPr>
            <w:tcW w:w="1769" w:type="dxa"/>
          </w:tcPr>
          <w:p w14:paraId="14B3A2BB">
            <w:pPr>
              <w:spacing w:before="40" w:after="40" w:line="240" w:lineRule="auto"/>
            </w:pPr>
            <w:r>
              <w:rPr>
                <w:rFonts w:ascii="Times New Roman" w:hAnsi="Times New Roman" w:eastAsia="SimSun"/>
                <w:b w:val="0"/>
                <w:color w:val="000000"/>
                <w:sz w:val="20"/>
              </w:rPr>
              <w:t>13.0%（2025）</w:t>
            </w:r>
          </w:p>
        </w:tc>
        <w:tc>
          <w:tcPr>
            <w:tcW w:w="1769" w:type="dxa"/>
          </w:tcPr>
          <w:p w14:paraId="40672FFF">
            <w:pPr>
              <w:spacing w:before="40" w:after="40" w:line="240" w:lineRule="auto"/>
            </w:pPr>
            <w:r>
              <w:rPr>
                <w:rFonts w:ascii="Times New Roman" w:hAnsi="Times New Roman" w:eastAsia="SimSun"/>
                <w:b w:val="0"/>
                <w:color w:val="000000"/>
                <w:sz w:val="20"/>
              </w:rPr>
              <w:t>29.5%（2025）</w:t>
            </w:r>
          </w:p>
        </w:tc>
        <w:tc>
          <w:tcPr>
            <w:tcW w:w="1769" w:type="dxa"/>
          </w:tcPr>
          <w:p w14:paraId="7F7440AE">
            <w:pPr>
              <w:spacing w:before="40" w:after="40" w:line="240" w:lineRule="auto"/>
            </w:pPr>
            <w:r>
              <w:rPr>
                <w:rFonts w:ascii="Times New Roman" w:hAnsi="Times New Roman" w:eastAsia="SimSun"/>
                <w:b w:val="0"/>
                <w:color w:val="000000"/>
                <w:sz w:val="20"/>
              </w:rPr>
              <w:t>14.3%（2025）</w:t>
            </w:r>
          </w:p>
        </w:tc>
      </w:tr>
      <w:tr w14:paraId="465A2EB1">
        <w:trPr>
          <w:jc w:val="center"/>
        </w:trPr>
        <w:tc>
          <w:tcPr>
            <w:tcW w:w="1769" w:type="dxa"/>
          </w:tcPr>
          <w:p w14:paraId="51217BDC">
            <w:pPr>
              <w:spacing w:before="40" w:after="40" w:line="240" w:lineRule="auto"/>
              <w:jc w:val="center"/>
            </w:pPr>
            <w:r>
              <w:rPr>
                <w:rFonts w:ascii="Times New Roman" w:hAnsi="Times New Roman" w:eastAsia="SimSun"/>
                <w:b w:val="0"/>
                <w:color w:val="000000"/>
                <w:sz w:val="20"/>
              </w:rPr>
              <w:t>核心产业增加值增速</w:t>
            </w:r>
          </w:p>
        </w:tc>
        <w:tc>
          <w:tcPr>
            <w:tcW w:w="1769" w:type="dxa"/>
          </w:tcPr>
          <w:p w14:paraId="5BFDED64">
            <w:pPr>
              <w:spacing w:before="40" w:after="40" w:line="240" w:lineRule="auto"/>
            </w:pPr>
            <w:r>
              <w:rPr>
                <w:rFonts w:ascii="Times New Roman" w:hAnsi="Times New Roman" w:eastAsia="SimSun"/>
                <w:b w:val="0"/>
                <w:color w:val="000000"/>
                <w:sz w:val="20"/>
              </w:rPr>
              <w:t>—</w:t>
            </w:r>
          </w:p>
        </w:tc>
        <w:tc>
          <w:tcPr>
            <w:tcW w:w="1769" w:type="dxa"/>
          </w:tcPr>
          <w:p w14:paraId="59200A81">
            <w:pPr>
              <w:spacing w:before="40" w:after="40" w:line="240" w:lineRule="auto"/>
            </w:pPr>
            <w:r>
              <w:rPr>
                <w:rFonts w:ascii="Times New Roman" w:hAnsi="Times New Roman" w:eastAsia="SimSun"/>
                <w:b w:val="0"/>
                <w:color w:val="000000"/>
                <w:sz w:val="20"/>
              </w:rPr>
              <w:t>10.2%</w:t>
            </w:r>
          </w:p>
        </w:tc>
        <w:tc>
          <w:tcPr>
            <w:tcW w:w="1769" w:type="dxa"/>
          </w:tcPr>
          <w:p w14:paraId="4804FB32">
            <w:pPr>
              <w:spacing w:before="40" w:after="40" w:line="240" w:lineRule="auto"/>
            </w:pPr>
            <w:r>
              <w:rPr>
                <w:rFonts w:ascii="Times New Roman" w:hAnsi="Times New Roman" w:eastAsia="SimSun"/>
                <w:b w:val="0"/>
                <w:color w:val="000000"/>
                <w:sz w:val="20"/>
              </w:rPr>
              <w:t>9.3%</w:t>
            </w:r>
          </w:p>
        </w:tc>
        <w:tc>
          <w:tcPr>
            <w:tcW w:w="1769" w:type="dxa"/>
          </w:tcPr>
          <w:p w14:paraId="3529825F">
            <w:pPr>
              <w:spacing w:before="40" w:after="40" w:line="240" w:lineRule="auto"/>
            </w:pPr>
            <w:r>
              <w:rPr>
                <w:rFonts w:ascii="Times New Roman" w:hAnsi="Times New Roman" w:eastAsia="SimSun"/>
                <w:b w:val="0"/>
                <w:color w:val="000000"/>
                <w:sz w:val="20"/>
              </w:rPr>
              <w:t>8.1%</w:t>
            </w:r>
          </w:p>
        </w:tc>
      </w:tr>
      <w:tr w14:paraId="15F2AD21">
        <w:trPr>
          <w:jc w:val="center"/>
        </w:trPr>
        <w:tc>
          <w:tcPr>
            <w:tcW w:w="1769" w:type="dxa"/>
          </w:tcPr>
          <w:p w14:paraId="5697AEEC">
            <w:pPr>
              <w:spacing w:before="40" w:after="40" w:line="240" w:lineRule="auto"/>
              <w:jc w:val="center"/>
            </w:pPr>
            <w:r>
              <w:rPr>
                <w:rFonts w:ascii="Times New Roman" w:hAnsi="Times New Roman" w:eastAsia="SimSun"/>
                <w:b w:val="0"/>
                <w:color w:val="000000"/>
                <w:sz w:val="20"/>
              </w:rPr>
              <w:t>宽口径数字经济占GDP比重</w:t>
            </w:r>
          </w:p>
        </w:tc>
        <w:tc>
          <w:tcPr>
            <w:tcW w:w="1769" w:type="dxa"/>
          </w:tcPr>
          <w:p w14:paraId="487EED23">
            <w:pPr>
              <w:spacing w:before="40" w:after="40" w:line="240" w:lineRule="auto"/>
            </w:pPr>
            <w:r>
              <w:rPr>
                <w:rFonts w:ascii="Times New Roman" w:hAnsi="Times New Roman" w:eastAsia="SimSun"/>
                <w:b w:val="0"/>
                <w:color w:val="000000"/>
                <w:sz w:val="20"/>
              </w:rPr>
              <w:t>43.8%（2024）</w:t>
            </w:r>
          </w:p>
        </w:tc>
        <w:tc>
          <w:tcPr>
            <w:tcW w:w="1769" w:type="dxa"/>
          </w:tcPr>
          <w:p w14:paraId="052292A3">
            <w:pPr>
              <w:spacing w:before="40" w:after="40" w:line="240" w:lineRule="auto"/>
            </w:pPr>
            <w:r>
              <w:rPr>
                <w:rFonts w:ascii="Times New Roman" w:hAnsi="Times New Roman" w:eastAsia="SimSun"/>
                <w:b w:val="0"/>
                <w:color w:val="000000"/>
                <w:sz w:val="20"/>
              </w:rPr>
              <w:t>52.5%（2024）</w:t>
            </w:r>
          </w:p>
        </w:tc>
        <w:tc>
          <w:tcPr>
            <w:tcW w:w="1769" w:type="dxa"/>
          </w:tcPr>
          <w:p w14:paraId="797447DF">
            <w:pPr>
              <w:spacing w:before="40" w:after="40" w:line="240" w:lineRule="auto"/>
            </w:pPr>
            <w:r>
              <w:rPr>
                <w:rFonts w:ascii="Times New Roman" w:hAnsi="Times New Roman" w:eastAsia="SimSun"/>
                <w:b w:val="0"/>
                <w:color w:val="000000"/>
                <w:sz w:val="20"/>
              </w:rPr>
              <w:t>—</w:t>
            </w:r>
          </w:p>
        </w:tc>
        <w:tc>
          <w:tcPr>
            <w:tcW w:w="1769" w:type="dxa"/>
          </w:tcPr>
          <w:p w14:paraId="138F9491">
            <w:pPr>
              <w:spacing w:before="40" w:after="40" w:line="240" w:lineRule="auto"/>
            </w:pPr>
            <w:r>
              <w:rPr>
                <w:rFonts w:ascii="Times New Roman" w:hAnsi="Times New Roman" w:eastAsia="SimSun"/>
                <w:b w:val="0"/>
                <w:color w:val="FF0000"/>
                <w:sz w:val="20"/>
              </w:rPr>
              <w:t>待补充采集（区本级无宽口径测算，建议统计部门测算）</w:t>
            </w:r>
          </w:p>
        </w:tc>
      </w:tr>
      <w:tr w14:paraId="2538E963">
        <w:trPr>
          <w:jc w:val="center"/>
        </w:trPr>
        <w:tc>
          <w:tcPr>
            <w:tcW w:w="1769" w:type="dxa"/>
          </w:tcPr>
          <w:p w14:paraId="2302DB61">
            <w:pPr>
              <w:spacing w:before="40" w:after="40" w:line="240" w:lineRule="auto"/>
              <w:jc w:val="center"/>
            </w:pPr>
            <w:r>
              <w:rPr>
                <w:rFonts w:ascii="Times New Roman" w:hAnsi="Times New Roman" w:eastAsia="SimSun"/>
                <w:b w:val="0"/>
                <w:color w:val="000000"/>
                <w:sz w:val="20"/>
              </w:rPr>
              <w:t>规上工业增加值增速</w:t>
            </w:r>
          </w:p>
        </w:tc>
        <w:tc>
          <w:tcPr>
            <w:tcW w:w="1769" w:type="dxa"/>
          </w:tcPr>
          <w:p w14:paraId="4D0C9F92">
            <w:pPr>
              <w:spacing w:before="40" w:after="40" w:line="240" w:lineRule="auto"/>
            </w:pPr>
            <w:r>
              <w:rPr>
                <w:rFonts w:ascii="Times New Roman" w:hAnsi="Times New Roman" w:eastAsia="SimSun"/>
                <w:b w:val="0"/>
                <w:color w:val="000000"/>
                <w:sz w:val="20"/>
              </w:rPr>
              <w:t>—</w:t>
            </w:r>
          </w:p>
        </w:tc>
        <w:tc>
          <w:tcPr>
            <w:tcW w:w="1769" w:type="dxa"/>
          </w:tcPr>
          <w:p w14:paraId="2FC2CBD0">
            <w:pPr>
              <w:spacing w:before="40" w:after="40" w:line="240" w:lineRule="auto"/>
            </w:pPr>
            <w:r>
              <w:rPr>
                <w:rFonts w:ascii="Times New Roman" w:hAnsi="Times New Roman" w:eastAsia="SimSun"/>
                <w:b w:val="0"/>
                <w:color w:val="000000"/>
                <w:sz w:val="20"/>
              </w:rPr>
              <w:t>6.9%</w:t>
            </w:r>
          </w:p>
        </w:tc>
        <w:tc>
          <w:tcPr>
            <w:tcW w:w="1769" w:type="dxa"/>
          </w:tcPr>
          <w:p w14:paraId="2BEF6309">
            <w:pPr>
              <w:spacing w:before="40" w:after="40" w:line="240" w:lineRule="auto"/>
            </w:pPr>
            <w:r>
              <w:rPr>
                <w:rFonts w:ascii="Times New Roman" w:hAnsi="Times New Roman" w:eastAsia="SimSun"/>
                <w:b w:val="0"/>
                <w:color w:val="000000"/>
                <w:sz w:val="20"/>
              </w:rPr>
              <w:t>—</w:t>
            </w:r>
          </w:p>
        </w:tc>
        <w:tc>
          <w:tcPr>
            <w:tcW w:w="1769" w:type="dxa"/>
          </w:tcPr>
          <w:p w14:paraId="7158843F">
            <w:pPr>
              <w:spacing w:before="40" w:after="40" w:line="240" w:lineRule="auto"/>
            </w:pPr>
            <w:r>
              <w:rPr>
                <w:rFonts w:ascii="Times New Roman" w:hAnsi="Times New Roman" w:eastAsia="SimSun"/>
                <w:b w:val="0"/>
                <w:color w:val="000000"/>
                <w:sz w:val="20"/>
              </w:rPr>
              <w:t>5.2%</w:t>
            </w:r>
          </w:p>
        </w:tc>
      </w:tr>
      <w:tr w14:paraId="72D23737">
        <w:trPr>
          <w:jc w:val="center"/>
        </w:trPr>
        <w:tc>
          <w:tcPr>
            <w:tcW w:w="1769" w:type="dxa"/>
          </w:tcPr>
          <w:p w14:paraId="5307CF0F">
            <w:pPr>
              <w:spacing w:before="40" w:after="40" w:line="240" w:lineRule="auto"/>
              <w:jc w:val="center"/>
            </w:pPr>
            <w:r>
              <w:rPr>
                <w:rFonts w:ascii="Times New Roman" w:hAnsi="Times New Roman" w:eastAsia="SimSun"/>
                <w:b w:val="0"/>
                <w:color w:val="000000"/>
                <w:sz w:val="20"/>
              </w:rPr>
              <w:t>R&amp;D经费占GDP比重</w:t>
            </w:r>
          </w:p>
        </w:tc>
        <w:tc>
          <w:tcPr>
            <w:tcW w:w="1769" w:type="dxa"/>
          </w:tcPr>
          <w:p w14:paraId="672E8EB6">
            <w:pPr>
              <w:spacing w:before="40" w:after="40" w:line="240" w:lineRule="auto"/>
            </w:pPr>
            <w:r>
              <w:rPr>
                <w:rFonts w:ascii="Times New Roman" w:hAnsi="Times New Roman" w:eastAsia="SimSun"/>
                <w:b w:val="0"/>
                <w:color w:val="000000"/>
                <w:sz w:val="20"/>
              </w:rPr>
              <w:t>—</w:t>
            </w:r>
          </w:p>
        </w:tc>
        <w:tc>
          <w:tcPr>
            <w:tcW w:w="1769" w:type="dxa"/>
          </w:tcPr>
          <w:p w14:paraId="6468EF44">
            <w:pPr>
              <w:spacing w:before="40" w:after="40" w:line="240" w:lineRule="auto"/>
            </w:pPr>
            <w:r>
              <w:rPr>
                <w:rFonts w:ascii="Times New Roman" w:hAnsi="Times New Roman" w:eastAsia="SimSun"/>
                <w:b w:val="0"/>
                <w:color w:val="000000"/>
                <w:sz w:val="20"/>
              </w:rPr>
              <w:t>—</w:t>
            </w:r>
          </w:p>
        </w:tc>
        <w:tc>
          <w:tcPr>
            <w:tcW w:w="1769" w:type="dxa"/>
          </w:tcPr>
          <w:p w14:paraId="635D1627">
            <w:pPr>
              <w:spacing w:before="40" w:after="40" w:line="240" w:lineRule="auto"/>
            </w:pPr>
            <w:r>
              <w:rPr>
                <w:rFonts w:ascii="Times New Roman" w:hAnsi="Times New Roman" w:eastAsia="SimSun"/>
                <w:b w:val="0"/>
                <w:color w:val="000000"/>
                <w:sz w:val="20"/>
              </w:rPr>
              <w:t>3.90%（2024）</w:t>
            </w:r>
          </w:p>
        </w:tc>
        <w:tc>
          <w:tcPr>
            <w:tcW w:w="1769" w:type="dxa"/>
          </w:tcPr>
          <w:p w14:paraId="6C5490D5">
            <w:pPr>
              <w:spacing w:before="40" w:after="40" w:line="240" w:lineRule="auto"/>
            </w:pPr>
            <w:r>
              <w:rPr>
                <w:rFonts w:ascii="Times New Roman" w:hAnsi="Times New Roman" w:eastAsia="SimSun"/>
                <w:b w:val="0"/>
                <w:color w:val="000000"/>
                <w:sz w:val="20"/>
              </w:rPr>
              <w:t>4.91%</w:t>
            </w:r>
          </w:p>
        </w:tc>
      </w:tr>
      <w:tr w14:paraId="3D7E59FB">
        <w:trPr>
          <w:jc w:val="center"/>
        </w:trPr>
        <w:tc>
          <w:tcPr>
            <w:tcW w:w="1769" w:type="dxa"/>
          </w:tcPr>
          <w:p w14:paraId="2C658CC7">
            <w:pPr>
              <w:spacing w:before="40" w:after="40" w:line="240" w:lineRule="auto"/>
              <w:jc w:val="center"/>
            </w:pPr>
            <w:r>
              <w:rPr>
                <w:rFonts w:ascii="Times New Roman" w:hAnsi="Times New Roman" w:eastAsia="SimSun"/>
                <w:b w:val="0"/>
                <w:color w:val="000000"/>
                <w:sz w:val="20"/>
              </w:rPr>
              <w:t>高端制造相关指标</w:t>
            </w:r>
          </w:p>
        </w:tc>
        <w:tc>
          <w:tcPr>
            <w:tcW w:w="1769" w:type="dxa"/>
          </w:tcPr>
          <w:p w14:paraId="41F5D454">
            <w:pPr>
              <w:spacing w:before="40" w:after="40" w:line="240" w:lineRule="auto"/>
            </w:pPr>
            <w:r>
              <w:rPr>
                <w:rFonts w:ascii="Times New Roman" w:hAnsi="Times New Roman" w:eastAsia="SimSun"/>
                <w:b w:val="0"/>
                <w:color w:val="000000"/>
                <w:sz w:val="20"/>
              </w:rPr>
              <w:t>研发设计工具普及率80.1%</w:t>
            </w:r>
          </w:p>
        </w:tc>
        <w:tc>
          <w:tcPr>
            <w:tcW w:w="1769" w:type="dxa"/>
          </w:tcPr>
          <w:p w14:paraId="23F15B1F">
            <w:pPr>
              <w:spacing w:before="40" w:after="40" w:line="240" w:lineRule="auto"/>
            </w:pPr>
            <w:r>
              <w:rPr>
                <w:rFonts w:ascii="Times New Roman" w:hAnsi="Times New Roman" w:eastAsia="SimSun"/>
                <w:b w:val="0"/>
                <w:color w:val="000000"/>
                <w:sz w:val="20"/>
              </w:rPr>
              <w:t>高技术制造业+12.4%</w:t>
            </w:r>
          </w:p>
        </w:tc>
        <w:tc>
          <w:tcPr>
            <w:tcW w:w="1769" w:type="dxa"/>
          </w:tcPr>
          <w:p w14:paraId="50CA35A4">
            <w:pPr>
              <w:spacing w:before="40" w:after="40" w:line="240" w:lineRule="auto"/>
            </w:pPr>
            <w:r>
              <w:rPr>
                <w:rFonts w:ascii="Times New Roman" w:hAnsi="Times New Roman" w:eastAsia="SimSun"/>
                <w:b w:val="0"/>
                <w:color w:val="000000"/>
                <w:sz w:val="20"/>
              </w:rPr>
              <w:t>规上AI核心产业营收+23.1%</w:t>
            </w:r>
          </w:p>
        </w:tc>
        <w:tc>
          <w:tcPr>
            <w:tcW w:w="1769" w:type="dxa"/>
          </w:tcPr>
          <w:p w14:paraId="5B33DD90">
            <w:pPr>
              <w:spacing w:before="40" w:after="40" w:line="240" w:lineRule="auto"/>
            </w:pPr>
            <w:r>
              <w:rPr>
                <w:rFonts w:ascii="Times New Roman" w:hAnsi="Times New Roman" w:eastAsia="SimSun"/>
                <w:b w:val="0"/>
                <w:color w:val="000000"/>
                <w:sz w:val="20"/>
              </w:rPr>
              <w:t>高端装备增加值+17.0%</w:t>
            </w:r>
          </w:p>
        </w:tc>
      </w:tr>
    </w:tbl>
    <w:p w14:paraId="7F9B0354">
      <w:pPr>
        <w:spacing w:before="40" w:after="160"/>
      </w:pPr>
      <w:r>
        <w:rPr>
          <w:rFonts w:ascii="Times New Roman" w:hAnsi="Times New Roman" w:eastAsia="SimSun"/>
          <w:b w:val="0"/>
          <w:color w:val="000000"/>
          <w:sz w:val="18"/>
        </w:rPr>
        <w:t>资料来源：国家统计局、工业和信息化部、国家互联网信息办公室及浙、杭、钱塘三级2024—2025年统计公报、经信部门公开数据整理。“—”表示该层级无对应公开口径。</w:t>
      </w:r>
    </w:p>
    <w:p w14:paraId="27DC3F4F">
      <w:pPr>
        <w:pStyle w:val="3"/>
      </w:pPr>
      <w:r>
        <w:t>（五）微观证据：基于iFinD的钱塘上市公司研发画像</w:t>
      </w:r>
    </w:p>
    <w:p w14:paraId="5D93D1BC">
      <w:pPr>
        <w:spacing w:line="360" w:lineRule="auto"/>
        <w:ind w:firstLine="480" w:firstLineChars="200"/>
      </w:pPr>
      <w:r>
        <w:rPr>
          <w:rFonts w:ascii="Times New Roman" w:hAnsi="Times New Roman" w:eastAsia="SimSun"/>
          <w:b w:val="0"/>
          <w:color w:val="000000"/>
          <w:sz w:val="24"/>
        </w:rPr>
        <w:t>企业是融合创新的微观主体。课题组通过同花顺iFinD终端检索注册地在钱塘的A股上市公司并提取代表性企业2024年年报数据（表2），行业异质性鲜明：半导体、生物医药和智能装备企业研发强度显著偏高，美迪凯、奥泰生物、立昂微分别达22.19%、11.06%、9.39%；大体量传统龙头相对偏低，顾家家居、杭电股份、中策橡胶分别为1.52%、2.85%、3.75%。中策橡胶研发费用14.73亿元、营业收入392.55亿元，是全区研发“压舱石”，但强度仍有提升空间。微观结构与宏观判断互证：高端制造企业技术吸收能力较强，但大量传统和中小配套企业研发强度偏低，融合存在“链主强、配套弱”“新兴强、传统弱”的梯度差，政策必须按行业、规模、能力分层供给。</w:t>
      </w:r>
    </w:p>
    <w:p w14:paraId="4A1B29C4">
      <w:pPr>
        <w:spacing w:before="120" w:after="60"/>
        <w:jc w:val="center"/>
      </w:pPr>
      <w:r>
        <w:rPr>
          <w:rFonts w:ascii="Times New Roman" w:hAnsi="Times New Roman" w:eastAsia="SimHei"/>
          <w:b/>
          <w:sz w:val="21"/>
        </w:rPr>
        <w:t>表2  钱塘区代表性A股上市公司2024年研发投入（iFinD样本）</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4"/>
        <w:gridCol w:w="1474"/>
        <w:gridCol w:w="1474"/>
        <w:gridCol w:w="1474"/>
        <w:gridCol w:w="1474"/>
        <w:gridCol w:w="1474"/>
      </w:tblGrid>
      <w:tr w14:paraId="3E5445CC">
        <w:trPr>
          <w:jc w:val="center"/>
        </w:trPr>
        <w:tc>
          <w:tcPr>
            <w:tcW w:w="1474" w:type="dxa"/>
            <w:shd w:val="clear" w:color="auto" w:fill="D9D9D9"/>
          </w:tcPr>
          <w:p w14:paraId="77371B08">
            <w:pPr>
              <w:spacing w:before="40" w:after="40" w:line="240" w:lineRule="auto"/>
              <w:jc w:val="center"/>
            </w:pPr>
            <w:r>
              <w:rPr>
                <w:rFonts w:ascii="Times New Roman" w:hAnsi="Times New Roman" w:eastAsia="SimSun"/>
                <w:b/>
                <w:color w:val="000000"/>
                <w:sz w:val="20"/>
              </w:rPr>
              <w:t>证券代码</w:t>
            </w:r>
          </w:p>
        </w:tc>
        <w:tc>
          <w:tcPr>
            <w:tcW w:w="1474" w:type="dxa"/>
            <w:shd w:val="clear" w:color="auto" w:fill="D9D9D9"/>
          </w:tcPr>
          <w:p w14:paraId="49900598">
            <w:pPr>
              <w:spacing w:before="40" w:after="40" w:line="240" w:lineRule="auto"/>
              <w:jc w:val="center"/>
            </w:pPr>
            <w:r>
              <w:rPr>
                <w:rFonts w:ascii="Times New Roman" w:hAnsi="Times New Roman" w:eastAsia="SimSun"/>
                <w:b/>
                <w:color w:val="000000"/>
                <w:sz w:val="20"/>
              </w:rPr>
              <w:t>证券简称</w:t>
            </w:r>
          </w:p>
        </w:tc>
        <w:tc>
          <w:tcPr>
            <w:tcW w:w="1474" w:type="dxa"/>
            <w:shd w:val="clear" w:color="auto" w:fill="D9D9D9"/>
          </w:tcPr>
          <w:p w14:paraId="5ABB6A92">
            <w:pPr>
              <w:spacing w:before="40" w:after="40" w:line="240" w:lineRule="auto"/>
              <w:jc w:val="center"/>
            </w:pPr>
            <w:r>
              <w:rPr>
                <w:rFonts w:ascii="Times New Roman" w:hAnsi="Times New Roman" w:eastAsia="SimSun"/>
                <w:b/>
                <w:color w:val="000000"/>
                <w:sz w:val="20"/>
              </w:rPr>
              <w:t>所属领域</w:t>
            </w:r>
          </w:p>
        </w:tc>
        <w:tc>
          <w:tcPr>
            <w:tcW w:w="1474" w:type="dxa"/>
            <w:shd w:val="clear" w:color="auto" w:fill="D9D9D9"/>
          </w:tcPr>
          <w:p w14:paraId="36158CA0">
            <w:pPr>
              <w:spacing w:before="40" w:after="40" w:line="240" w:lineRule="auto"/>
              <w:jc w:val="center"/>
            </w:pPr>
            <w:r>
              <w:rPr>
                <w:rFonts w:ascii="Times New Roman" w:hAnsi="Times New Roman" w:eastAsia="SimSun"/>
                <w:b/>
                <w:color w:val="000000"/>
                <w:sz w:val="20"/>
              </w:rPr>
              <w:t>研发费用（亿元）</w:t>
            </w:r>
          </w:p>
        </w:tc>
        <w:tc>
          <w:tcPr>
            <w:tcW w:w="1474" w:type="dxa"/>
            <w:shd w:val="clear" w:color="auto" w:fill="D9D9D9"/>
          </w:tcPr>
          <w:p w14:paraId="426E9A90">
            <w:pPr>
              <w:spacing w:before="40" w:after="40" w:line="240" w:lineRule="auto"/>
              <w:jc w:val="center"/>
            </w:pPr>
            <w:r>
              <w:rPr>
                <w:rFonts w:ascii="Times New Roman" w:hAnsi="Times New Roman" w:eastAsia="SimSun"/>
                <w:b/>
                <w:color w:val="000000"/>
                <w:sz w:val="20"/>
              </w:rPr>
              <w:t>营业收入（亿元）</w:t>
            </w:r>
          </w:p>
        </w:tc>
        <w:tc>
          <w:tcPr>
            <w:tcW w:w="1474" w:type="dxa"/>
            <w:shd w:val="clear" w:color="auto" w:fill="D9D9D9"/>
          </w:tcPr>
          <w:p w14:paraId="4605D3F5">
            <w:pPr>
              <w:spacing w:before="40" w:after="40" w:line="240" w:lineRule="auto"/>
              <w:jc w:val="center"/>
            </w:pPr>
            <w:r>
              <w:rPr>
                <w:rFonts w:ascii="Times New Roman" w:hAnsi="Times New Roman" w:eastAsia="SimSun"/>
                <w:b/>
                <w:color w:val="000000"/>
                <w:sz w:val="20"/>
              </w:rPr>
              <w:t>研发强度（%）</w:t>
            </w:r>
          </w:p>
        </w:tc>
      </w:tr>
      <w:tr w14:paraId="11810C15">
        <w:trPr>
          <w:jc w:val="center"/>
        </w:trPr>
        <w:tc>
          <w:tcPr>
            <w:tcW w:w="1474" w:type="dxa"/>
          </w:tcPr>
          <w:p w14:paraId="5F5D2553">
            <w:pPr>
              <w:spacing w:before="40" w:after="40" w:line="240" w:lineRule="auto"/>
              <w:jc w:val="center"/>
            </w:pPr>
            <w:r>
              <w:rPr>
                <w:rFonts w:ascii="Times New Roman" w:hAnsi="Times New Roman" w:eastAsia="SimSun"/>
                <w:b w:val="0"/>
                <w:color w:val="000000"/>
                <w:sz w:val="20"/>
              </w:rPr>
              <w:t>688079.SH</w:t>
            </w:r>
          </w:p>
        </w:tc>
        <w:tc>
          <w:tcPr>
            <w:tcW w:w="1474" w:type="dxa"/>
          </w:tcPr>
          <w:p w14:paraId="130030BA">
            <w:pPr>
              <w:spacing w:before="40" w:after="40" w:line="240" w:lineRule="auto"/>
            </w:pPr>
            <w:r>
              <w:rPr>
                <w:rFonts w:ascii="Times New Roman" w:hAnsi="Times New Roman" w:eastAsia="SimSun"/>
                <w:b w:val="0"/>
                <w:color w:val="000000"/>
                <w:sz w:val="20"/>
              </w:rPr>
              <w:t>美迪凯</w:t>
            </w:r>
          </w:p>
        </w:tc>
        <w:tc>
          <w:tcPr>
            <w:tcW w:w="1474" w:type="dxa"/>
          </w:tcPr>
          <w:p w14:paraId="3C3A8209">
            <w:pPr>
              <w:spacing w:before="40" w:after="40" w:line="240" w:lineRule="auto"/>
            </w:pPr>
            <w:r>
              <w:rPr>
                <w:rFonts w:ascii="Times New Roman" w:hAnsi="Times New Roman" w:eastAsia="SimSun"/>
                <w:b w:val="0"/>
                <w:color w:val="000000"/>
                <w:sz w:val="20"/>
              </w:rPr>
              <w:t>半导体/光学器件</w:t>
            </w:r>
          </w:p>
        </w:tc>
        <w:tc>
          <w:tcPr>
            <w:tcW w:w="1474" w:type="dxa"/>
          </w:tcPr>
          <w:p w14:paraId="4DCE8912">
            <w:pPr>
              <w:spacing w:before="40" w:after="40" w:line="240" w:lineRule="auto"/>
            </w:pPr>
            <w:r>
              <w:rPr>
                <w:rFonts w:ascii="Times New Roman" w:hAnsi="Times New Roman" w:eastAsia="SimSun"/>
                <w:b w:val="0"/>
                <w:color w:val="000000"/>
                <w:sz w:val="20"/>
              </w:rPr>
              <w:t>1.08</w:t>
            </w:r>
          </w:p>
        </w:tc>
        <w:tc>
          <w:tcPr>
            <w:tcW w:w="1474" w:type="dxa"/>
          </w:tcPr>
          <w:p w14:paraId="3430A4CD">
            <w:pPr>
              <w:spacing w:before="40" w:after="40" w:line="240" w:lineRule="auto"/>
            </w:pPr>
            <w:r>
              <w:rPr>
                <w:rFonts w:ascii="Times New Roman" w:hAnsi="Times New Roman" w:eastAsia="SimSun"/>
                <w:b w:val="0"/>
                <w:color w:val="000000"/>
                <w:sz w:val="20"/>
              </w:rPr>
              <w:t>4.86</w:t>
            </w:r>
          </w:p>
        </w:tc>
        <w:tc>
          <w:tcPr>
            <w:tcW w:w="1474" w:type="dxa"/>
          </w:tcPr>
          <w:p w14:paraId="3C33D61E">
            <w:pPr>
              <w:spacing w:before="40" w:after="40" w:line="240" w:lineRule="auto"/>
            </w:pPr>
            <w:r>
              <w:rPr>
                <w:rFonts w:ascii="Times New Roman" w:hAnsi="Times New Roman" w:eastAsia="SimSun"/>
                <w:b w:val="0"/>
                <w:color w:val="000000"/>
                <w:sz w:val="20"/>
              </w:rPr>
              <w:t>22.19</w:t>
            </w:r>
          </w:p>
        </w:tc>
      </w:tr>
      <w:tr w14:paraId="694DAE26">
        <w:trPr>
          <w:jc w:val="center"/>
        </w:trPr>
        <w:tc>
          <w:tcPr>
            <w:tcW w:w="1474" w:type="dxa"/>
          </w:tcPr>
          <w:p w14:paraId="6B41AA3D">
            <w:pPr>
              <w:spacing w:before="40" w:after="40" w:line="240" w:lineRule="auto"/>
              <w:jc w:val="center"/>
            </w:pPr>
            <w:r>
              <w:rPr>
                <w:rFonts w:ascii="Times New Roman" w:hAnsi="Times New Roman" w:eastAsia="SimSun"/>
                <w:b w:val="0"/>
                <w:color w:val="000000"/>
                <w:sz w:val="20"/>
              </w:rPr>
              <w:t>688606.SH</w:t>
            </w:r>
          </w:p>
        </w:tc>
        <w:tc>
          <w:tcPr>
            <w:tcW w:w="1474" w:type="dxa"/>
          </w:tcPr>
          <w:p w14:paraId="6C624B8A">
            <w:pPr>
              <w:spacing w:before="40" w:after="40" w:line="240" w:lineRule="auto"/>
            </w:pPr>
            <w:r>
              <w:rPr>
                <w:rFonts w:ascii="Times New Roman" w:hAnsi="Times New Roman" w:eastAsia="SimSun"/>
                <w:b w:val="0"/>
                <w:color w:val="000000"/>
                <w:sz w:val="20"/>
              </w:rPr>
              <w:t>奥泰生物</w:t>
            </w:r>
          </w:p>
        </w:tc>
        <w:tc>
          <w:tcPr>
            <w:tcW w:w="1474" w:type="dxa"/>
          </w:tcPr>
          <w:p w14:paraId="1503319B">
            <w:pPr>
              <w:spacing w:before="40" w:after="40" w:line="240" w:lineRule="auto"/>
            </w:pPr>
            <w:r>
              <w:rPr>
                <w:rFonts w:ascii="Times New Roman" w:hAnsi="Times New Roman" w:eastAsia="SimSun"/>
                <w:b w:val="0"/>
                <w:color w:val="000000"/>
                <w:sz w:val="20"/>
              </w:rPr>
              <w:t>生物医药/体外诊断</w:t>
            </w:r>
          </w:p>
        </w:tc>
        <w:tc>
          <w:tcPr>
            <w:tcW w:w="1474" w:type="dxa"/>
          </w:tcPr>
          <w:p w14:paraId="39E59777">
            <w:pPr>
              <w:spacing w:before="40" w:after="40" w:line="240" w:lineRule="auto"/>
            </w:pPr>
            <w:r>
              <w:rPr>
                <w:rFonts w:ascii="Times New Roman" w:hAnsi="Times New Roman" w:eastAsia="SimSun"/>
                <w:b w:val="0"/>
                <w:color w:val="000000"/>
                <w:sz w:val="20"/>
              </w:rPr>
              <w:t>0.96</w:t>
            </w:r>
          </w:p>
        </w:tc>
        <w:tc>
          <w:tcPr>
            <w:tcW w:w="1474" w:type="dxa"/>
          </w:tcPr>
          <w:p w14:paraId="5FB38C4A">
            <w:pPr>
              <w:spacing w:before="40" w:after="40" w:line="240" w:lineRule="auto"/>
            </w:pPr>
            <w:r>
              <w:rPr>
                <w:rFonts w:ascii="Times New Roman" w:hAnsi="Times New Roman" w:eastAsia="SimSun"/>
                <w:b w:val="0"/>
                <w:color w:val="000000"/>
                <w:sz w:val="20"/>
              </w:rPr>
              <w:t>8.67</w:t>
            </w:r>
          </w:p>
        </w:tc>
        <w:tc>
          <w:tcPr>
            <w:tcW w:w="1474" w:type="dxa"/>
          </w:tcPr>
          <w:p w14:paraId="4A3EB28C">
            <w:pPr>
              <w:spacing w:before="40" w:after="40" w:line="240" w:lineRule="auto"/>
            </w:pPr>
            <w:r>
              <w:rPr>
                <w:rFonts w:ascii="Times New Roman" w:hAnsi="Times New Roman" w:eastAsia="SimSun"/>
                <w:b w:val="0"/>
                <w:color w:val="000000"/>
                <w:sz w:val="20"/>
              </w:rPr>
              <w:t>11.06</w:t>
            </w:r>
          </w:p>
        </w:tc>
      </w:tr>
      <w:tr w14:paraId="00FB5B2C">
        <w:trPr>
          <w:jc w:val="center"/>
        </w:trPr>
        <w:tc>
          <w:tcPr>
            <w:tcW w:w="1474" w:type="dxa"/>
          </w:tcPr>
          <w:p w14:paraId="2C0F107E">
            <w:pPr>
              <w:spacing w:before="40" w:after="40" w:line="240" w:lineRule="auto"/>
              <w:jc w:val="center"/>
            </w:pPr>
            <w:r>
              <w:rPr>
                <w:rFonts w:ascii="Times New Roman" w:hAnsi="Times New Roman" w:eastAsia="SimSun"/>
                <w:b w:val="0"/>
                <w:color w:val="000000"/>
                <w:sz w:val="20"/>
              </w:rPr>
              <w:t>605358.SH</w:t>
            </w:r>
          </w:p>
        </w:tc>
        <w:tc>
          <w:tcPr>
            <w:tcW w:w="1474" w:type="dxa"/>
          </w:tcPr>
          <w:p w14:paraId="1F400BE2">
            <w:pPr>
              <w:spacing w:before="40" w:after="40" w:line="240" w:lineRule="auto"/>
            </w:pPr>
            <w:r>
              <w:rPr>
                <w:rFonts w:ascii="Times New Roman" w:hAnsi="Times New Roman" w:eastAsia="SimSun"/>
                <w:b w:val="0"/>
                <w:color w:val="000000"/>
                <w:sz w:val="20"/>
              </w:rPr>
              <w:t>立昂微</w:t>
            </w:r>
          </w:p>
        </w:tc>
        <w:tc>
          <w:tcPr>
            <w:tcW w:w="1474" w:type="dxa"/>
          </w:tcPr>
          <w:p w14:paraId="57DF1DC4">
            <w:pPr>
              <w:spacing w:before="40" w:after="40" w:line="240" w:lineRule="auto"/>
            </w:pPr>
            <w:r>
              <w:rPr>
                <w:rFonts w:ascii="Times New Roman" w:hAnsi="Times New Roman" w:eastAsia="SimSun"/>
                <w:b w:val="0"/>
                <w:color w:val="000000"/>
                <w:sz w:val="20"/>
              </w:rPr>
              <w:t>半导体材料</w:t>
            </w:r>
          </w:p>
        </w:tc>
        <w:tc>
          <w:tcPr>
            <w:tcW w:w="1474" w:type="dxa"/>
          </w:tcPr>
          <w:p w14:paraId="33E584FF">
            <w:pPr>
              <w:spacing w:before="40" w:after="40" w:line="240" w:lineRule="auto"/>
            </w:pPr>
            <w:r>
              <w:rPr>
                <w:rFonts w:ascii="Times New Roman" w:hAnsi="Times New Roman" w:eastAsia="SimSun"/>
                <w:b w:val="0"/>
                <w:color w:val="000000"/>
                <w:sz w:val="20"/>
              </w:rPr>
              <w:t>2.90</w:t>
            </w:r>
          </w:p>
        </w:tc>
        <w:tc>
          <w:tcPr>
            <w:tcW w:w="1474" w:type="dxa"/>
          </w:tcPr>
          <w:p w14:paraId="0B0488C2">
            <w:pPr>
              <w:spacing w:before="40" w:after="40" w:line="240" w:lineRule="auto"/>
            </w:pPr>
            <w:r>
              <w:rPr>
                <w:rFonts w:ascii="Times New Roman" w:hAnsi="Times New Roman" w:eastAsia="SimSun"/>
                <w:b w:val="0"/>
                <w:color w:val="000000"/>
                <w:sz w:val="20"/>
              </w:rPr>
              <w:t>30.92</w:t>
            </w:r>
          </w:p>
        </w:tc>
        <w:tc>
          <w:tcPr>
            <w:tcW w:w="1474" w:type="dxa"/>
          </w:tcPr>
          <w:p w14:paraId="56474EBA">
            <w:pPr>
              <w:spacing w:before="40" w:after="40" w:line="240" w:lineRule="auto"/>
            </w:pPr>
            <w:r>
              <w:rPr>
                <w:rFonts w:ascii="Times New Roman" w:hAnsi="Times New Roman" w:eastAsia="SimSun"/>
                <w:b w:val="0"/>
                <w:color w:val="000000"/>
                <w:sz w:val="20"/>
              </w:rPr>
              <w:t>9.39</w:t>
            </w:r>
          </w:p>
        </w:tc>
      </w:tr>
      <w:tr w14:paraId="24425460">
        <w:trPr>
          <w:jc w:val="center"/>
        </w:trPr>
        <w:tc>
          <w:tcPr>
            <w:tcW w:w="1474" w:type="dxa"/>
          </w:tcPr>
          <w:p w14:paraId="304484DC">
            <w:pPr>
              <w:spacing w:before="40" w:after="40" w:line="240" w:lineRule="auto"/>
              <w:jc w:val="center"/>
            </w:pPr>
            <w:r>
              <w:rPr>
                <w:rFonts w:ascii="Times New Roman" w:hAnsi="Times New Roman" w:eastAsia="SimSun"/>
                <w:b w:val="0"/>
                <w:color w:val="000000"/>
                <w:sz w:val="20"/>
              </w:rPr>
              <w:t>300349.SZ</w:t>
            </w:r>
          </w:p>
        </w:tc>
        <w:tc>
          <w:tcPr>
            <w:tcW w:w="1474" w:type="dxa"/>
          </w:tcPr>
          <w:p w14:paraId="3197F982">
            <w:pPr>
              <w:spacing w:before="40" w:after="40" w:line="240" w:lineRule="auto"/>
            </w:pPr>
            <w:r>
              <w:rPr>
                <w:rFonts w:ascii="Times New Roman" w:hAnsi="Times New Roman" w:eastAsia="SimSun"/>
                <w:b w:val="0"/>
                <w:color w:val="000000"/>
                <w:sz w:val="20"/>
              </w:rPr>
              <w:t>金卡智能</w:t>
            </w:r>
          </w:p>
        </w:tc>
        <w:tc>
          <w:tcPr>
            <w:tcW w:w="1474" w:type="dxa"/>
          </w:tcPr>
          <w:p w14:paraId="374FBB5F">
            <w:pPr>
              <w:spacing w:before="40" w:after="40" w:line="240" w:lineRule="auto"/>
            </w:pPr>
            <w:r>
              <w:rPr>
                <w:rFonts w:ascii="Times New Roman" w:hAnsi="Times New Roman" w:eastAsia="SimSun"/>
                <w:b w:val="0"/>
                <w:color w:val="000000"/>
                <w:sz w:val="20"/>
              </w:rPr>
              <w:t>智能物联/仪器仪表</w:t>
            </w:r>
          </w:p>
        </w:tc>
        <w:tc>
          <w:tcPr>
            <w:tcW w:w="1474" w:type="dxa"/>
          </w:tcPr>
          <w:p w14:paraId="1ABF09AA">
            <w:pPr>
              <w:spacing w:before="40" w:after="40" w:line="240" w:lineRule="auto"/>
            </w:pPr>
            <w:r>
              <w:rPr>
                <w:rFonts w:ascii="Times New Roman" w:hAnsi="Times New Roman" w:eastAsia="SimSun"/>
                <w:b w:val="0"/>
                <w:color w:val="000000"/>
                <w:sz w:val="20"/>
              </w:rPr>
              <w:t>2.24</w:t>
            </w:r>
          </w:p>
        </w:tc>
        <w:tc>
          <w:tcPr>
            <w:tcW w:w="1474" w:type="dxa"/>
          </w:tcPr>
          <w:p w14:paraId="02E651DE">
            <w:pPr>
              <w:spacing w:before="40" w:after="40" w:line="240" w:lineRule="auto"/>
            </w:pPr>
            <w:r>
              <w:rPr>
                <w:rFonts w:ascii="Times New Roman" w:hAnsi="Times New Roman" w:eastAsia="SimSun"/>
                <w:b w:val="0"/>
                <w:color w:val="000000"/>
                <w:sz w:val="20"/>
              </w:rPr>
              <w:t>30.66</w:t>
            </w:r>
          </w:p>
        </w:tc>
        <w:tc>
          <w:tcPr>
            <w:tcW w:w="1474" w:type="dxa"/>
          </w:tcPr>
          <w:p w14:paraId="1749EA10">
            <w:pPr>
              <w:spacing w:before="40" w:after="40" w:line="240" w:lineRule="auto"/>
            </w:pPr>
            <w:r>
              <w:rPr>
                <w:rFonts w:ascii="Times New Roman" w:hAnsi="Times New Roman" w:eastAsia="SimSun"/>
                <w:b w:val="0"/>
                <w:color w:val="000000"/>
                <w:sz w:val="20"/>
              </w:rPr>
              <w:t>7.30</w:t>
            </w:r>
          </w:p>
        </w:tc>
      </w:tr>
      <w:tr w14:paraId="1ACF07E0">
        <w:trPr>
          <w:jc w:val="center"/>
        </w:trPr>
        <w:tc>
          <w:tcPr>
            <w:tcW w:w="1474" w:type="dxa"/>
          </w:tcPr>
          <w:p w14:paraId="10336EF5">
            <w:pPr>
              <w:spacing w:before="40" w:after="40" w:line="240" w:lineRule="auto"/>
              <w:jc w:val="center"/>
            </w:pPr>
            <w:r>
              <w:rPr>
                <w:rFonts w:ascii="Times New Roman" w:hAnsi="Times New Roman" w:eastAsia="SimSun"/>
                <w:b w:val="0"/>
                <w:color w:val="000000"/>
                <w:sz w:val="20"/>
              </w:rPr>
              <w:t>605060.SH</w:t>
            </w:r>
          </w:p>
        </w:tc>
        <w:tc>
          <w:tcPr>
            <w:tcW w:w="1474" w:type="dxa"/>
          </w:tcPr>
          <w:p w14:paraId="5019F5DD">
            <w:pPr>
              <w:spacing w:before="40" w:after="40" w:line="240" w:lineRule="auto"/>
            </w:pPr>
            <w:r>
              <w:rPr>
                <w:rFonts w:ascii="Times New Roman" w:hAnsi="Times New Roman" w:eastAsia="SimSun"/>
                <w:b w:val="0"/>
                <w:color w:val="000000"/>
                <w:sz w:val="20"/>
              </w:rPr>
              <w:t>联德股份</w:t>
            </w:r>
          </w:p>
        </w:tc>
        <w:tc>
          <w:tcPr>
            <w:tcW w:w="1474" w:type="dxa"/>
          </w:tcPr>
          <w:p w14:paraId="5527629E">
            <w:pPr>
              <w:spacing w:before="40" w:after="40" w:line="240" w:lineRule="auto"/>
            </w:pPr>
            <w:r>
              <w:rPr>
                <w:rFonts w:ascii="Times New Roman" w:hAnsi="Times New Roman" w:eastAsia="SimSun"/>
                <w:b w:val="0"/>
                <w:color w:val="000000"/>
                <w:sz w:val="20"/>
              </w:rPr>
              <w:t>高端装备</w:t>
            </w:r>
          </w:p>
        </w:tc>
        <w:tc>
          <w:tcPr>
            <w:tcW w:w="1474" w:type="dxa"/>
          </w:tcPr>
          <w:p w14:paraId="66A87254">
            <w:pPr>
              <w:spacing w:before="40" w:after="40" w:line="240" w:lineRule="auto"/>
            </w:pPr>
            <w:r>
              <w:rPr>
                <w:rFonts w:ascii="Times New Roman" w:hAnsi="Times New Roman" w:eastAsia="SimSun"/>
                <w:b w:val="0"/>
                <w:color w:val="000000"/>
                <w:sz w:val="20"/>
              </w:rPr>
              <w:t>0.68</w:t>
            </w:r>
          </w:p>
        </w:tc>
        <w:tc>
          <w:tcPr>
            <w:tcW w:w="1474" w:type="dxa"/>
          </w:tcPr>
          <w:p w14:paraId="085882AB">
            <w:pPr>
              <w:spacing w:before="40" w:after="40" w:line="240" w:lineRule="auto"/>
            </w:pPr>
            <w:r>
              <w:rPr>
                <w:rFonts w:ascii="Times New Roman" w:hAnsi="Times New Roman" w:eastAsia="SimSun"/>
                <w:b w:val="0"/>
                <w:color w:val="000000"/>
                <w:sz w:val="20"/>
              </w:rPr>
              <w:t>10.98</w:t>
            </w:r>
          </w:p>
        </w:tc>
        <w:tc>
          <w:tcPr>
            <w:tcW w:w="1474" w:type="dxa"/>
          </w:tcPr>
          <w:p w14:paraId="1AA64454">
            <w:pPr>
              <w:spacing w:before="40" w:after="40" w:line="240" w:lineRule="auto"/>
            </w:pPr>
            <w:r>
              <w:rPr>
                <w:rFonts w:ascii="Times New Roman" w:hAnsi="Times New Roman" w:eastAsia="SimSun"/>
                <w:b w:val="0"/>
                <w:color w:val="000000"/>
                <w:sz w:val="20"/>
              </w:rPr>
              <w:t>6.15</w:t>
            </w:r>
          </w:p>
        </w:tc>
      </w:tr>
      <w:tr w14:paraId="1D23BCB9">
        <w:trPr>
          <w:jc w:val="center"/>
        </w:trPr>
        <w:tc>
          <w:tcPr>
            <w:tcW w:w="1474" w:type="dxa"/>
          </w:tcPr>
          <w:p w14:paraId="244A3677">
            <w:pPr>
              <w:spacing w:before="40" w:after="40" w:line="240" w:lineRule="auto"/>
              <w:jc w:val="center"/>
            </w:pPr>
            <w:r>
              <w:rPr>
                <w:rFonts w:ascii="Times New Roman" w:hAnsi="Times New Roman" w:eastAsia="SimSun"/>
                <w:b w:val="0"/>
                <w:color w:val="000000"/>
                <w:sz w:val="20"/>
              </w:rPr>
              <w:t>603289.SH</w:t>
            </w:r>
          </w:p>
        </w:tc>
        <w:tc>
          <w:tcPr>
            <w:tcW w:w="1474" w:type="dxa"/>
          </w:tcPr>
          <w:p w14:paraId="5FDC727F">
            <w:pPr>
              <w:spacing w:before="40" w:after="40" w:line="240" w:lineRule="auto"/>
            </w:pPr>
            <w:r>
              <w:rPr>
                <w:rFonts w:ascii="Times New Roman" w:hAnsi="Times New Roman" w:eastAsia="SimSun"/>
                <w:b w:val="0"/>
                <w:color w:val="000000"/>
                <w:sz w:val="20"/>
              </w:rPr>
              <w:t>泰瑞机器</w:t>
            </w:r>
          </w:p>
        </w:tc>
        <w:tc>
          <w:tcPr>
            <w:tcW w:w="1474" w:type="dxa"/>
          </w:tcPr>
          <w:p w14:paraId="7242A76C">
            <w:pPr>
              <w:spacing w:before="40" w:after="40" w:line="240" w:lineRule="auto"/>
            </w:pPr>
            <w:r>
              <w:rPr>
                <w:rFonts w:ascii="Times New Roman" w:hAnsi="Times New Roman" w:eastAsia="SimSun"/>
                <w:b w:val="0"/>
                <w:color w:val="000000"/>
                <w:sz w:val="20"/>
              </w:rPr>
              <w:t>高端装备/注塑机</w:t>
            </w:r>
          </w:p>
        </w:tc>
        <w:tc>
          <w:tcPr>
            <w:tcW w:w="1474" w:type="dxa"/>
          </w:tcPr>
          <w:p w14:paraId="3FBCF200">
            <w:pPr>
              <w:spacing w:before="40" w:after="40" w:line="240" w:lineRule="auto"/>
            </w:pPr>
            <w:r>
              <w:rPr>
                <w:rFonts w:ascii="Times New Roman" w:hAnsi="Times New Roman" w:eastAsia="SimSun"/>
                <w:b w:val="0"/>
                <w:color w:val="000000"/>
                <w:sz w:val="20"/>
              </w:rPr>
              <w:t>0.64</w:t>
            </w:r>
          </w:p>
        </w:tc>
        <w:tc>
          <w:tcPr>
            <w:tcW w:w="1474" w:type="dxa"/>
          </w:tcPr>
          <w:p w14:paraId="706CB6E3">
            <w:pPr>
              <w:spacing w:before="40" w:after="40" w:line="240" w:lineRule="auto"/>
            </w:pPr>
            <w:r>
              <w:rPr>
                <w:rFonts w:ascii="Times New Roman" w:hAnsi="Times New Roman" w:eastAsia="SimSun"/>
                <w:b w:val="0"/>
                <w:color w:val="000000"/>
                <w:sz w:val="20"/>
              </w:rPr>
              <w:t>11.48</w:t>
            </w:r>
          </w:p>
        </w:tc>
        <w:tc>
          <w:tcPr>
            <w:tcW w:w="1474" w:type="dxa"/>
          </w:tcPr>
          <w:p w14:paraId="30F565C5">
            <w:pPr>
              <w:spacing w:before="40" w:after="40" w:line="240" w:lineRule="auto"/>
            </w:pPr>
            <w:r>
              <w:rPr>
                <w:rFonts w:ascii="Times New Roman" w:hAnsi="Times New Roman" w:eastAsia="SimSun"/>
                <w:b w:val="0"/>
                <w:color w:val="000000"/>
                <w:sz w:val="20"/>
              </w:rPr>
              <w:t>5.56</w:t>
            </w:r>
          </w:p>
        </w:tc>
      </w:tr>
      <w:tr w14:paraId="52C91C4F">
        <w:trPr>
          <w:jc w:val="center"/>
        </w:trPr>
        <w:tc>
          <w:tcPr>
            <w:tcW w:w="1474" w:type="dxa"/>
          </w:tcPr>
          <w:p w14:paraId="7D2D5DA3">
            <w:pPr>
              <w:spacing w:before="40" w:after="40" w:line="240" w:lineRule="auto"/>
              <w:jc w:val="center"/>
            </w:pPr>
            <w:r>
              <w:rPr>
                <w:rFonts w:ascii="Times New Roman" w:hAnsi="Times New Roman" w:eastAsia="SimSun"/>
                <w:b w:val="0"/>
                <w:color w:val="000000"/>
                <w:sz w:val="20"/>
              </w:rPr>
              <w:t>603931.SH</w:t>
            </w:r>
          </w:p>
        </w:tc>
        <w:tc>
          <w:tcPr>
            <w:tcW w:w="1474" w:type="dxa"/>
          </w:tcPr>
          <w:p w14:paraId="7B63E6CE">
            <w:pPr>
              <w:spacing w:before="40" w:after="40" w:line="240" w:lineRule="auto"/>
            </w:pPr>
            <w:r>
              <w:rPr>
                <w:rFonts w:ascii="Times New Roman" w:hAnsi="Times New Roman" w:eastAsia="SimSun"/>
                <w:b w:val="0"/>
                <w:color w:val="000000"/>
                <w:sz w:val="20"/>
              </w:rPr>
              <w:t>格林达</w:t>
            </w:r>
          </w:p>
        </w:tc>
        <w:tc>
          <w:tcPr>
            <w:tcW w:w="1474" w:type="dxa"/>
          </w:tcPr>
          <w:p w14:paraId="78431D1A">
            <w:pPr>
              <w:spacing w:before="40" w:after="40" w:line="240" w:lineRule="auto"/>
            </w:pPr>
            <w:r>
              <w:rPr>
                <w:rFonts w:ascii="Times New Roman" w:hAnsi="Times New Roman" w:eastAsia="SimSun"/>
                <w:b w:val="0"/>
                <w:color w:val="000000"/>
                <w:sz w:val="20"/>
              </w:rPr>
              <w:t>半导体材料</w:t>
            </w:r>
          </w:p>
        </w:tc>
        <w:tc>
          <w:tcPr>
            <w:tcW w:w="1474" w:type="dxa"/>
          </w:tcPr>
          <w:p w14:paraId="4BFDAC89">
            <w:pPr>
              <w:spacing w:before="40" w:after="40" w:line="240" w:lineRule="auto"/>
            </w:pPr>
            <w:r>
              <w:rPr>
                <w:rFonts w:ascii="Times New Roman" w:hAnsi="Times New Roman" w:eastAsia="SimSun"/>
                <w:b w:val="0"/>
                <w:color w:val="000000"/>
                <w:sz w:val="20"/>
              </w:rPr>
              <w:t>0.33</w:t>
            </w:r>
          </w:p>
        </w:tc>
        <w:tc>
          <w:tcPr>
            <w:tcW w:w="1474" w:type="dxa"/>
          </w:tcPr>
          <w:p w14:paraId="73CD95F3">
            <w:pPr>
              <w:spacing w:before="40" w:after="40" w:line="240" w:lineRule="auto"/>
            </w:pPr>
            <w:r>
              <w:rPr>
                <w:rFonts w:ascii="Times New Roman" w:hAnsi="Times New Roman" w:eastAsia="SimSun"/>
                <w:b w:val="0"/>
                <w:color w:val="000000"/>
                <w:sz w:val="20"/>
              </w:rPr>
              <w:t>6.56</w:t>
            </w:r>
          </w:p>
        </w:tc>
        <w:tc>
          <w:tcPr>
            <w:tcW w:w="1474" w:type="dxa"/>
          </w:tcPr>
          <w:p w14:paraId="6010DA2D">
            <w:pPr>
              <w:spacing w:before="40" w:after="40" w:line="240" w:lineRule="auto"/>
            </w:pPr>
            <w:r>
              <w:rPr>
                <w:rFonts w:ascii="Times New Roman" w:hAnsi="Times New Roman" w:eastAsia="SimSun"/>
                <w:b w:val="0"/>
                <w:color w:val="000000"/>
                <w:sz w:val="20"/>
              </w:rPr>
              <w:t>5.07</w:t>
            </w:r>
          </w:p>
        </w:tc>
      </w:tr>
      <w:tr w14:paraId="54BD258D">
        <w:trPr>
          <w:jc w:val="center"/>
        </w:trPr>
        <w:tc>
          <w:tcPr>
            <w:tcW w:w="1474" w:type="dxa"/>
          </w:tcPr>
          <w:p w14:paraId="0CE1ABD2">
            <w:pPr>
              <w:spacing w:before="40" w:after="40" w:line="240" w:lineRule="auto"/>
              <w:jc w:val="center"/>
            </w:pPr>
            <w:r>
              <w:rPr>
                <w:rFonts w:ascii="Times New Roman" w:hAnsi="Times New Roman" w:eastAsia="SimSun"/>
                <w:b w:val="0"/>
                <w:color w:val="000000"/>
                <w:sz w:val="20"/>
              </w:rPr>
              <w:t>603049.SH</w:t>
            </w:r>
          </w:p>
        </w:tc>
        <w:tc>
          <w:tcPr>
            <w:tcW w:w="1474" w:type="dxa"/>
          </w:tcPr>
          <w:p w14:paraId="17245169">
            <w:pPr>
              <w:spacing w:before="40" w:after="40" w:line="240" w:lineRule="auto"/>
            </w:pPr>
            <w:r>
              <w:rPr>
                <w:rFonts w:ascii="Times New Roman" w:hAnsi="Times New Roman" w:eastAsia="SimSun"/>
                <w:b w:val="0"/>
                <w:color w:val="000000"/>
                <w:sz w:val="20"/>
              </w:rPr>
              <w:t>中策橡胶</w:t>
            </w:r>
          </w:p>
        </w:tc>
        <w:tc>
          <w:tcPr>
            <w:tcW w:w="1474" w:type="dxa"/>
          </w:tcPr>
          <w:p w14:paraId="208A4E7A">
            <w:pPr>
              <w:spacing w:before="40" w:after="40" w:line="240" w:lineRule="auto"/>
            </w:pPr>
            <w:r>
              <w:rPr>
                <w:rFonts w:ascii="Times New Roman" w:hAnsi="Times New Roman" w:eastAsia="SimSun"/>
                <w:b w:val="0"/>
                <w:color w:val="000000"/>
                <w:sz w:val="20"/>
              </w:rPr>
              <w:t>汽车零部件/轮胎</w:t>
            </w:r>
          </w:p>
        </w:tc>
        <w:tc>
          <w:tcPr>
            <w:tcW w:w="1474" w:type="dxa"/>
          </w:tcPr>
          <w:p w14:paraId="46EDF4E8">
            <w:pPr>
              <w:spacing w:before="40" w:after="40" w:line="240" w:lineRule="auto"/>
            </w:pPr>
            <w:r>
              <w:rPr>
                <w:rFonts w:ascii="Times New Roman" w:hAnsi="Times New Roman" w:eastAsia="SimSun"/>
                <w:b w:val="0"/>
                <w:color w:val="000000"/>
                <w:sz w:val="20"/>
              </w:rPr>
              <w:t>14.73</w:t>
            </w:r>
          </w:p>
        </w:tc>
        <w:tc>
          <w:tcPr>
            <w:tcW w:w="1474" w:type="dxa"/>
          </w:tcPr>
          <w:p w14:paraId="3C4D124E">
            <w:pPr>
              <w:spacing w:before="40" w:after="40" w:line="240" w:lineRule="auto"/>
            </w:pPr>
            <w:r>
              <w:rPr>
                <w:rFonts w:ascii="Times New Roman" w:hAnsi="Times New Roman" w:eastAsia="SimSun"/>
                <w:b w:val="0"/>
                <w:color w:val="000000"/>
                <w:sz w:val="20"/>
              </w:rPr>
              <w:t>392.55</w:t>
            </w:r>
          </w:p>
        </w:tc>
        <w:tc>
          <w:tcPr>
            <w:tcW w:w="1474" w:type="dxa"/>
          </w:tcPr>
          <w:p w14:paraId="42E7AF15">
            <w:pPr>
              <w:spacing w:before="40" w:after="40" w:line="240" w:lineRule="auto"/>
            </w:pPr>
            <w:r>
              <w:rPr>
                <w:rFonts w:ascii="Times New Roman" w:hAnsi="Times New Roman" w:eastAsia="SimSun"/>
                <w:b w:val="0"/>
                <w:color w:val="000000"/>
                <w:sz w:val="20"/>
              </w:rPr>
              <w:t>3.75</w:t>
            </w:r>
          </w:p>
        </w:tc>
      </w:tr>
      <w:tr w14:paraId="5BE61903">
        <w:trPr>
          <w:jc w:val="center"/>
        </w:trPr>
        <w:tc>
          <w:tcPr>
            <w:tcW w:w="1474" w:type="dxa"/>
          </w:tcPr>
          <w:p w14:paraId="13F1753C">
            <w:pPr>
              <w:spacing w:before="40" w:after="40" w:line="240" w:lineRule="auto"/>
              <w:jc w:val="center"/>
            </w:pPr>
            <w:r>
              <w:rPr>
                <w:rFonts w:ascii="Times New Roman" w:hAnsi="Times New Roman" w:eastAsia="SimSun"/>
                <w:b w:val="0"/>
                <w:color w:val="000000"/>
                <w:sz w:val="20"/>
              </w:rPr>
              <w:t>603618.SH</w:t>
            </w:r>
          </w:p>
        </w:tc>
        <w:tc>
          <w:tcPr>
            <w:tcW w:w="1474" w:type="dxa"/>
          </w:tcPr>
          <w:p w14:paraId="6665C0AE">
            <w:pPr>
              <w:spacing w:before="40" w:after="40" w:line="240" w:lineRule="auto"/>
            </w:pPr>
            <w:r>
              <w:rPr>
                <w:rFonts w:ascii="Times New Roman" w:hAnsi="Times New Roman" w:eastAsia="SimSun"/>
                <w:b w:val="0"/>
                <w:color w:val="000000"/>
                <w:sz w:val="20"/>
              </w:rPr>
              <w:t>杭电股份</w:t>
            </w:r>
          </w:p>
        </w:tc>
        <w:tc>
          <w:tcPr>
            <w:tcW w:w="1474" w:type="dxa"/>
          </w:tcPr>
          <w:p w14:paraId="77B6D9C0">
            <w:pPr>
              <w:spacing w:before="40" w:after="40" w:line="240" w:lineRule="auto"/>
            </w:pPr>
            <w:r>
              <w:rPr>
                <w:rFonts w:ascii="Times New Roman" w:hAnsi="Times New Roman" w:eastAsia="SimSun"/>
                <w:b w:val="0"/>
                <w:color w:val="000000"/>
                <w:sz w:val="20"/>
              </w:rPr>
              <w:t>高端装备/线缆</w:t>
            </w:r>
          </w:p>
        </w:tc>
        <w:tc>
          <w:tcPr>
            <w:tcW w:w="1474" w:type="dxa"/>
          </w:tcPr>
          <w:p w14:paraId="6EE52FFA">
            <w:pPr>
              <w:spacing w:before="40" w:after="40" w:line="240" w:lineRule="auto"/>
            </w:pPr>
            <w:r>
              <w:rPr>
                <w:rFonts w:ascii="Times New Roman" w:hAnsi="Times New Roman" w:eastAsia="SimSun"/>
                <w:b w:val="0"/>
                <w:color w:val="000000"/>
                <w:sz w:val="20"/>
              </w:rPr>
              <w:t>2.52</w:t>
            </w:r>
          </w:p>
        </w:tc>
        <w:tc>
          <w:tcPr>
            <w:tcW w:w="1474" w:type="dxa"/>
          </w:tcPr>
          <w:p w14:paraId="5EA184A3">
            <w:pPr>
              <w:spacing w:before="40" w:after="40" w:line="240" w:lineRule="auto"/>
            </w:pPr>
            <w:r>
              <w:rPr>
                <w:rFonts w:ascii="Times New Roman" w:hAnsi="Times New Roman" w:eastAsia="SimSun"/>
                <w:b w:val="0"/>
                <w:color w:val="000000"/>
                <w:sz w:val="20"/>
              </w:rPr>
              <w:t>88.51</w:t>
            </w:r>
          </w:p>
        </w:tc>
        <w:tc>
          <w:tcPr>
            <w:tcW w:w="1474" w:type="dxa"/>
          </w:tcPr>
          <w:p w14:paraId="75E748DC">
            <w:pPr>
              <w:spacing w:before="40" w:after="40" w:line="240" w:lineRule="auto"/>
            </w:pPr>
            <w:r>
              <w:rPr>
                <w:rFonts w:ascii="Times New Roman" w:hAnsi="Times New Roman" w:eastAsia="SimSun"/>
                <w:b w:val="0"/>
                <w:color w:val="000000"/>
                <w:sz w:val="20"/>
              </w:rPr>
              <w:t>2.85</w:t>
            </w:r>
          </w:p>
        </w:tc>
      </w:tr>
      <w:tr w14:paraId="5041A153">
        <w:trPr>
          <w:jc w:val="center"/>
        </w:trPr>
        <w:tc>
          <w:tcPr>
            <w:tcW w:w="1474" w:type="dxa"/>
          </w:tcPr>
          <w:p w14:paraId="53DE26D7">
            <w:pPr>
              <w:spacing w:before="40" w:after="40" w:line="240" w:lineRule="auto"/>
              <w:jc w:val="center"/>
            </w:pPr>
            <w:r>
              <w:rPr>
                <w:rFonts w:ascii="Times New Roman" w:hAnsi="Times New Roman" w:eastAsia="SimSun"/>
                <w:b w:val="0"/>
                <w:color w:val="000000"/>
                <w:sz w:val="20"/>
              </w:rPr>
              <w:t>603816.SH</w:t>
            </w:r>
          </w:p>
        </w:tc>
        <w:tc>
          <w:tcPr>
            <w:tcW w:w="1474" w:type="dxa"/>
          </w:tcPr>
          <w:p w14:paraId="228BAA6F">
            <w:pPr>
              <w:spacing w:before="40" w:after="40" w:line="240" w:lineRule="auto"/>
            </w:pPr>
            <w:r>
              <w:rPr>
                <w:rFonts w:ascii="Times New Roman" w:hAnsi="Times New Roman" w:eastAsia="SimSun"/>
                <w:b w:val="0"/>
                <w:color w:val="000000"/>
                <w:sz w:val="20"/>
              </w:rPr>
              <w:t>顾家家居</w:t>
            </w:r>
          </w:p>
        </w:tc>
        <w:tc>
          <w:tcPr>
            <w:tcW w:w="1474" w:type="dxa"/>
          </w:tcPr>
          <w:p w14:paraId="3DE03D46">
            <w:pPr>
              <w:spacing w:before="40" w:after="40" w:line="240" w:lineRule="auto"/>
            </w:pPr>
            <w:r>
              <w:rPr>
                <w:rFonts w:ascii="Times New Roman" w:hAnsi="Times New Roman" w:eastAsia="SimSun"/>
                <w:b w:val="0"/>
                <w:color w:val="000000"/>
                <w:sz w:val="20"/>
              </w:rPr>
              <w:t>智能家居制造</w:t>
            </w:r>
          </w:p>
        </w:tc>
        <w:tc>
          <w:tcPr>
            <w:tcW w:w="1474" w:type="dxa"/>
          </w:tcPr>
          <w:p w14:paraId="63307A27">
            <w:pPr>
              <w:spacing w:before="40" w:after="40" w:line="240" w:lineRule="auto"/>
            </w:pPr>
            <w:r>
              <w:rPr>
                <w:rFonts w:ascii="Times New Roman" w:hAnsi="Times New Roman" w:eastAsia="SimSun"/>
                <w:b w:val="0"/>
                <w:color w:val="000000"/>
                <w:sz w:val="20"/>
              </w:rPr>
              <w:t>2.82</w:t>
            </w:r>
          </w:p>
        </w:tc>
        <w:tc>
          <w:tcPr>
            <w:tcW w:w="1474" w:type="dxa"/>
          </w:tcPr>
          <w:p w14:paraId="7A78204B">
            <w:pPr>
              <w:spacing w:before="40" w:after="40" w:line="240" w:lineRule="auto"/>
            </w:pPr>
            <w:r>
              <w:rPr>
                <w:rFonts w:ascii="Times New Roman" w:hAnsi="Times New Roman" w:eastAsia="SimSun"/>
                <w:b w:val="0"/>
                <w:color w:val="000000"/>
                <w:sz w:val="20"/>
              </w:rPr>
              <w:t>184.80</w:t>
            </w:r>
          </w:p>
        </w:tc>
        <w:tc>
          <w:tcPr>
            <w:tcW w:w="1474" w:type="dxa"/>
          </w:tcPr>
          <w:p w14:paraId="0919E14E">
            <w:pPr>
              <w:spacing w:before="40" w:after="40" w:line="240" w:lineRule="auto"/>
            </w:pPr>
            <w:r>
              <w:rPr>
                <w:rFonts w:ascii="Times New Roman" w:hAnsi="Times New Roman" w:eastAsia="SimSun"/>
                <w:b w:val="0"/>
                <w:color w:val="000000"/>
                <w:sz w:val="20"/>
              </w:rPr>
              <w:t>1.52</w:t>
            </w:r>
          </w:p>
        </w:tc>
      </w:tr>
    </w:tbl>
    <w:p w14:paraId="07887B64">
      <w:pPr>
        <w:spacing w:before="40" w:after="160"/>
      </w:pPr>
      <w:r>
        <w:rPr>
          <w:rFonts w:ascii="Times New Roman" w:hAnsi="Times New Roman" w:eastAsia="SimSun"/>
          <w:b w:val="0"/>
          <w:color w:val="000000"/>
          <w:sz w:val="18"/>
        </w:rPr>
        <w:t>资料来源：同花顺iFinD金融数据终端，各公司2024年年度报告（报告期2024-12-31，合并报表），研发强度＝研发费用／营业总收入；样本为注册地在钱塘的代表性上市公司，非全样本。</w:t>
      </w:r>
    </w:p>
    <w:p w14:paraId="7893B3DD">
      <w:pPr>
        <w:spacing w:line="360" w:lineRule="auto"/>
        <w:ind w:firstLine="480" w:firstLineChars="200"/>
      </w:pPr>
      <w:r>
        <w:rPr>
          <w:rFonts w:ascii="Times New Roman" w:hAnsi="Times New Roman" w:eastAsia="SimSun"/>
          <w:b w:val="0"/>
          <w:color w:val="000000"/>
          <w:sz w:val="24"/>
        </w:rPr>
        <w:t>iFinD按注册地址检索到18家A股上市公司，与统计公报“年末累计上市企业23家”的差异主要来自注册地与经营地分离、境外及港股上市等口径。</w:t>
      </w:r>
      <w:r>
        <w:rPr>
          <w:rFonts w:ascii="Times New Roman" w:hAnsi="Times New Roman" w:eastAsia="SimSun"/>
          <w:b w:val="0"/>
          <w:color w:val="000000"/>
          <w:sz w:val="24"/>
        </w:rPr>
        <w:t>经iFinD续采，已补齐表2十家代表性上市公司2022—2025年研发费用时间序列：中策橡胶12.56→14.01→14.73→15.43亿元、顾家家居3.01→2.65→2.82→3.69亿元、杭电股份2.56→2.52→2.52→3.22亿元、美迪凯0.73→0.85→1.08→1.37亿元、金卡智能1.91→2.21→2.24→2.39亿元，泰瑞机器、联德股份稳步增长，立昂微、格林达小幅波动，奥泰生物受体外诊断行业周期影响由2.07亿元回落至1.09亿元，研发投入总体稳中有升、强度分化明显。</w:t>
      </w:r>
      <w:r>
        <w:rPr>
          <w:rFonts w:ascii="Times New Roman" w:hAnsi="Times New Roman" w:eastAsia="SimSun"/>
          <w:b w:val="0"/>
          <w:color w:val="FF0000"/>
          <w:sz w:val="24"/>
        </w:rPr>
        <w:t>数字化相关无形资产、工业软件采购面板及全部23家企业按“办公地址＋实际控制人＋产业链归属”的交叉核对，仍需后续续采。</w:t>
      </w:r>
    </w:p>
    <w:p w14:paraId="47642D6E">
      <w:pPr>
        <w:pStyle w:val="2"/>
      </w:pPr>
      <w:r>
        <w:t>四、钱塘区高端制造业融合创新的资源底座与场景地图</w:t>
      </w:r>
    </w:p>
    <w:p w14:paraId="198D1001">
      <w:pPr>
        <w:pStyle w:val="3"/>
      </w:pPr>
      <w:r>
        <w:t>（一）四大重点产业的融合基底</w:t>
      </w:r>
    </w:p>
    <w:p w14:paraId="3D6A88BC">
      <w:pPr>
        <w:spacing w:line="360" w:lineRule="auto"/>
        <w:ind w:firstLine="480" w:firstLineChars="200"/>
      </w:pPr>
      <w:r>
        <w:rPr>
          <w:rFonts w:ascii="Times New Roman" w:hAnsi="Times New Roman" w:eastAsia="SimSun"/>
          <w:b w:val="0"/>
          <w:color w:val="000000"/>
          <w:sz w:val="24"/>
        </w:rPr>
        <w:t>1.生命健康：数据密集、监管驱动，数字化场景价值高。依托杭州医药港，钱塘已集聚生物医药企业1800余家，吸引全球十大药企中的7家，培育“准独角兽”31家；截至2024年底累计开展临床试验301项、涉及药品230个，其中创新药90个，2024年实现自主培育1类创新药“零的突破”。该产业研发数据密集、生产合规要求高、质量追溯链条长，高价值场景集中在AI药物发现、临床试验数据管理、药品生产数字化监管“黑匣子”、真实世界研究、器械数字孪生和供应链追溯，是数据要素激活机制最易率先见效的领域。</w:t>
      </w:r>
    </w:p>
    <w:p w14:paraId="76C94BA4">
      <w:pPr>
        <w:spacing w:line="360" w:lineRule="auto"/>
        <w:ind w:firstLine="480" w:firstLineChars="200"/>
      </w:pPr>
      <w:r>
        <w:rPr>
          <w:rFonts w:ascii="Times New Roman" w:hAnsi="Times New Roman" w:eastAsia="SimSun"/>
          <w:b w:val="0"/>
          <w:color w:val="000000"/>
          <w:sz w:val="24"/>
        </w:rPr>
        <w:t>2.集成电路：链条完整但“两头偏弱”，协同数字化需求迫切。2024年全区半导体产业规模以上企业总产值807.85亿元，其中集成电路核心环节营业收入139.68亿元、增长5.2%；集聚上下游企业200余家，建成“芯片设计—基础材料—制造—规模化应用”完整链路，获批国家级创新型产业集群；规模以上企业研发投入约25亿元、增长15.3%，研发强度约8%，拥有国家高新技术企业26家、省级研发机构18家。但人大调研显示，产业“两头小、中间大”，设计环节营收占比仅15%、低于全省平均10个百分点，封测占比20%、低8个百分点，EDA、MPW流片、测试分析等公共技术平台薄弱，设计与制造、芯片与本地汽车电子场景联动不足。这表明融合创新不仅是车间自动化，更是产业链协同组织和公共服务供给问题。</w:t>
      </w:r>
    </w:p>
    <w:p w14:paraId="1EE3D6A5">
      <w:pPr>
        <w:spacing w:line="360" w:lineRule="auto"/>
        <w:ind w:firstLine="480" w:firstLineChars="200"/>
      </w:pPr>
      <w:r>
        <w:rPr>
          <w:rFonts w:ascii="Times New Roman" w:hAnsi="Times New Roman" w:eastAsia="SimSun"/>
          <w:b w:val="0"/>
          <w:color w:val="000000"/>
          <w:sz w:val="24"/>
        </w:rPr>
        <w:t>3.新能源汽车及零部件：链主牵引明显，是链群协同机制的最佳试验场。全区集聚3家整车企业及70余家规模以上配套企业，整车产量占杭州市96.8%，形成千亿级智能汽车及智能装备集群；2024年以新能源汽车为代表的“新三样”出口增长424.2%，2025年高新技术产品、机电产品出口分别增长19.4%和6.1%。该产业具备“整车链主—多级配套—平台服务”典型结构，场景覆盖协同研发、订单驱动柔性排产、供应链风险预警、车路云一体化和电池全生命周期管理，是检验链主开放接口、带动配套同步转型的关键领域。</w:t>
      </w:r>
    </w:p>
    <w:p w14:paraId="78FB6CE5">
      <w:pPr>
        <w:spacing w:line="360" w:lineRule="auto"/>
        <w:ind w:firstLine="480" w:firstLineChars="200"/>
      </w:pPr>
      <w:r>
        <w:rPr>
          <w:rFonts w:ascii="Times New Roman" w:hAnsi="Times New Roman" w:eastAsia="SimSun"/>
          <w:b w:val="0"/>
          <w:color w:val="000000"/>
          <w:sz w:val="24"/>
        </w:rPr>
        <w:t>4.智能物联：既是产业也是使能工具。智能物联是浙江省两大万亿级数字产业集群之一，也是钱塘“车药芯化智”的横向赋能环节，集聚金卡智能等工业感知、仪器仪表和智能终端企业。它既为其他产业提供传感器、工业通信、边缘计算和智能终端硬件底座，自身也需依托工业互联网实现产品智能化、服务化延伸（远程运维、按效果付费），是融合“产业”与“工具”双重属性的交汇点。</w:t>
      </w:r>
    </w:p>
    <w:p w14:paraId="21B6D192">
      <w:pPr>
        <w:spacing w:line="360" w:lineRule="auto"/>
        <w:ind w:firstLine="480" w:firstLineChars="200"/>
      </w:pPr>
      <w:r>
        <w:rPr>
          <w:rFonts w:ascii="Times New Roman" w:hAnsi="Times New Roman" w:eastAsia="SimSun"/>
          <w:b w:val="0"/>
          <w:color w:val="000000"/>
          <w:sz w:val="24"/>
        </w:rPr>
        <w:t>2024年一季度智能汽车及智能装备、新材料、半导体、生命健康产值分别为267.4亿、200.28亿、174.58亿、105.09亿元，合计占规模以上工业总产值超85%；2025年“296X”集群（剔重）产值3137.69亿元、增长9.1%，“车药芯化智”主导产业（剔重）产值3570.15亿元、增长7.4%。</w:t>
      </w:r>
      <w:r>
        <w:rPr>
          <w:rFonts w:ascii="Times New Roman" w:hAnsi="Times New Roman" w:eastAsia="SimSun"/>
          <w:b w:val="0"/>
          <w:color w:val="FF0000"/>
          <w:sz w:val="24"/>
        </w:rPr>
        <w:t>待补充采集：四大重点产业2025年全年分产业产值、增加值及2022—2025年时间序列（拟向区经信科技局采集）；智能物联单独口径的企业数与产值。</w:t>
      </w:r>
    </w:p>
    <w:p w14:paraId="55CF8D7A">
      <w:pPr>
        <w:pStyle w:val="3"/>
      </w:pPr>
      <w:r>
        <w:t>（二）融合创新资源底座盘点</w:t>
      </w:r>
    </w:p>
    <w:p w14:paraId="02318C0A">
      <w:pPr>
        <w:spacing w:line="360" w:lineRule="auto"/>
        <w:ind w:firstLine="480" w:firstLineChars="200"/>
      </w:pPr>
      <w:r>
        <w:rPr>
          <w:rFonts w:ascii="Times New Roman" w:hAnsi="Times New Roman" w:eastAsia="SimSun"/>
          <w:b w:val="0"/>
          <w:color w:val="000000"/>
          <w:sz w:val="24"/>
        </w:rPr>
        <w:t>按“目标—资源—主体—场景”四维思路，将融合资源归为七类：一是产业主体，2025年末年产值10亿元以上工业企业76家、百亿元以上6家，形成大中小梯度；二是平台载体，多区合一的高能级战略平台叠加杭州医药港、和达芯谷等专业园区和3个“国字号”集群；三是智能制造梯度，国家卓越级智能工厂3家、市级未来工厂59家、省级工业互联网平台5家及大批智能工厂和数字化车间；四是科创人才，R&amp;D投入强度全省第二，坐拥全省最大高教园区，仅集成电路核心专业每年培养毕业生约1987人、占全省主要高校43.19%；五是数据算力，工业互联网平台叠加杭州城市可信数据空间接入条件；六是金融资本，2025年末存、贷款余额分别达2222.91亿、2343.41亿元，生物医药产业基金总规模突破300亿元、28只子基金近200亿元；七是政策工具，可叠加国家、省、市、区四级政策。</w:t>
      </w:r>
    </w:p>
    <w:p w14:paraId="08784D55">
      <w:pPr>
        <w:spacing w:before="120" w:after="60"/>
        <w:jc w:val="center"/>
      </w:pPr>
      <w:r>
        <w:rPr>
          <w:rFonts w:ascii="Times New Roman" w:hAnsi="Times New Roman" w:eastAsia="SimHei"/>
          <w:b/>
          <w:sz w:val="21"/>
        </w:rPr>
        <w:t>表3  钱塘区融合创新资源底座清单</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8"/>
        <w:gridCol w:w="2948"/>
        <w:gridCol w:w="2948"/>
      </w:tblGrid>
      <w:tr w14:paraId="77A437BA">
        <w:trPr>
          <w:jc w:val="center"/>
        </w:trPr>
        <w:tc>
          <w:tcPr>
            <w:tcW w:w="2948" w:type="dxa"/>
            <w:shd w:val="clear" w:color="auto" w:fill="D9D9D9"/>
          </w:tcPr>
          <w:p w14:paraId="1A2D23CF">
            <w:pPr>
              <w:spacing w:before="40" w:after="40" w:line="240" w:lineRule="auto"/>
              <w:jc w:val="center"/>
            </w:pPr>
            <w:r>
              <w:rPr>
                <w:rFonts w:ascii="Times New Roman" w:hAnsi="Times New Roman" w:eastAsia="SimSun"/>
                <w:b/>
                <w:color w:val="000000"/>
                <w:sz w:val="20"/>
              </w:rPr>
              <w:t>资源类别</w:t>
            </w:r>
          </w:p>
        </w:tc>
        <w:tc>
          <w:tcPr>
            <w:tcW w:w="2948" w:type="dxa"/>
            <w:shd w:val="clear" w:color="auto" w:fill="D9D9D9"/>
          </w:tcPr>
          <w:p w14:paraId="17D9BF3F">
            <w:pPr>
              <w:spacing w:before="40" w:after="40" w:line="240" w:lineRule="auto"/>
              <w:jc w:val="center"/>
            </w:pPr>
            <w:r>
              <w:rPr>
                <w:rFonts w:ascii="Times New Roman" w:hAnsi="Times New Roman" w:eastAsia="SimSun"/>
                <w:b/>
                <w:color w:val="000000"/>
                <w:sz w:val="20"/>
              </w:rPr>
              <w:t>现有基础（公开数据）</w:t>
            </w:r>
          </w:p>
        </w:tc>
        <w:tc>
          <w:tcPr>
            <w:tcW w:w="2948" w:type="dxa"/>
            <w:shd w:val="clear" w:color="auto" w:fill="D9D9D9"/>
          </w:tcPr>
          <w:p w14:paraId="0F375247">
            <w:pPr>
              <w:spacing w:before="40" w:after="40" w:line="240" w:lineRule="auto"/>
              <w:jc w:val="center"/>
            </w:pPr>
            <w:r>
              <w:rPr>
                <w:rFonts w:ascii="Times New Roman" w:hAnsi="Times New Roman" w:eastAsia="SimSun"/>
                <w:b/>
                <w:color w:val="000000"/>
                <w:sz w:val="20"/>
              </w:rPr>
              <w:t>融合功能</w:t>
            </w:r>
          </w:p>
        </w:tc>
      </w:tr>
      <w:tr w14:paraId="2C1CE203">
        <w:trPr>
          <w:jc w:val="center"/>
        </w:trPr>
        <w:tc>
          <w:tcPr>
            <w:tcW w:w="2948" w:type="dxa"/>
          </w:tcPr>
          <w:p w14:paraId="69111E45">
            <w:pPr>
              <w:spacing w:before="40" w:after="40" w:line="240" w:lineRule="auto"/>
            </w:pPr>
            <w:r>
              <w:rPr>
                <w:rFonts w:ascii="Times New Roman" w:hAnsi="Times New Roman" w:eastAsia="SimSun"/>
                <w:b w:val="0"/>
                <w:color w:val="000000"/>
                <w:sz w:val="20"/>
              </w:rPr>
              <w:t>产业主体</w:t>
            </w:r>
          </w:p>
        </w:tc>
        <w:tc>
          <w:tcPr>
            <w:tcW w:w="2948" w:type="dxa"/>
          </w:tcPr>
          <w:p w14:paraId="7C776728">
            <w:pPr>
              <w:spacing w:before="40" w:after="40" w:line="240" w:lineRule="auto"/>
            </w:pPr>
            <w:r>
              <w:rPr>
                <w:rFonts w:ascii="Times New Roman" w:hAnsi="Times New Roman" w:eastAsia="SimSun"/>
                <w:b w:val="0"/>
                <w:color w:val="000000"/>
                <w:sz w:val="20"/>
              </w:rPr>
              <w:t>年产值10亿元以上企业76家、百亿元以上6家；累计专精特新“小巨人”57家、省级专精特新337家、创新型中小企业809家（2025年末）</w:t>
            </w:r>
          </w:p>
        </w:tc>
        <w:tc>
          <w:tcPr>
            <w:tcW w:w="2948" w:type="dxa"/>
          </w:tcPr>
          <w:p w14:paraId="5927CF86">
            <w:pPr>
              <w:spacing w:before="40" w:after="40" w:line="240" w:lineRule="auto"/>
            </w:pPr>
            <w:r>
              <w:rPr>
                <w:rFonts w:ascii="Times New Roman" w:hAnsi="Times New Roman" w:eastAsia="SimSun"/>
                <w:b w:val="0"/>
                <w:color w:val="000000"/>
                <w:sz w:val="20"/>
              </w:rPr>
              <w:t>场景提供者与技术吸收方</w:t>
            </w:r>
          </w:p>
        </w:tc>
      </w:tr>
      <w:tr w14:paraId="1F07DA3E">
        <w:trPr>
          <w:jc w:val="center"/>
        </w:trPr>
        <w:tc>
          <w:tcPr>
            <w:tcW w:w="2948" w:type="dxa"/>
          </w:tcPr>
          <w:p w14:paraId="1A4D003C">
            <w:pPr>
              <w:spacing w:before="40" w:after="40" w:line="240" w:lineRule="auto"/>
            </w:pPr>
            <w:r>
              <w:rPr>
                <w:rFonts w:ascii="Times New Roman" w:hAnsi="Times New Roman" w:eastAsia="SimSun"/>
                <w:b w:val="0"/>
                <w:color w:val="000000"/>
                <w:sz w:val="20"/>
              </w:rPr>
              <w:t>平台载体</w:t>
            </w:r>
          </w:p>
        </w:tc>
        <w:tc>
          <w:tcPr>
            <w:tcW w:w="2948" w:type="dxa"/>
          </w:tcPr>
          <w:p w14:paraId="19EA516C">
            <w:pPr>
              <w:spacing w:before="40" w:after="40" w:line="240" w:lineRule="auto"/>
            </w:pPr>
            <w:r>
              <w:rPr>
                <w:rFonts w:ascii="Times New Roman" w:hAnsi="Times New Roman" w:eastAsia="SimSun"/>
                <w:b w:val="0"/>
                <w:color w:val="000000"/>
                <w:sz w:val="20"/>
              </w:rPr>
              <w:t>经开区、高新区、综保区、自贸区多区合一；杭州医药港、和达芯谷；3个“国字号”集群</w:t>
            </w:r>
          </w:p>
        </w:tc>
        <w:tc>
          <w:tcPr>
            <w:tcW w:w="2948" w:type="dxa"/>
          </w:tcPr>
          <w:p w14:paraId="345F3256">
            <w:pPr>
              <w:spacing w:before="40" w:after="40" w:line="240" w:lineRule="auto"/>
            </w:pPr>
            <w:r>
              <w:rPr>
                <w:rFonts w:ascii="Times New Roman" w:hAnsi="Times New Roman" w:eastAsia="SimSun"/>
                <w:b w:val="0"/>
                <w:color w:val="000000"/>
                <w:sz w:val="20"/>
              </w:rPr>
              <w:t>空间组织与公共服务</w:t>
            </w:r>
          </w:p>
        </w:tc>
      </w:tr>
      <w:tr w14:paraId="308ACCE6">
        <w:trPr>
          <w:jc w:val="center"/>
        </w:trPr>
        <w:tc>
          <w:tcPr>
            <w:tcW w:w="2948" w:type="dxa"/>
          </w:tcPr>
          <w:p w14:paraId="14887DEB">
            <w:pPr>
              <w:spacing w:before="40" w:after="40" w:line="240" w:lineRule="auto"/>
            </w:pPr>
            <w:r>
              <w:rPr>
                <w:rFonts w:ascii="Times New Roman" w:hAnsi="Times New Roman" w:eastAsia="SimSun"/>
                <w:b w:val="0"/>
                <w:color w:val="000000"/>
                <w:sz w:val="20"/>
              </w:rPr>
              <w:t>智能制造</w:t>
            </w:r>
          </w:p>
        </w:tc>
        <w:tc>
          <w:tcPr>
            <w:tcW w:w="2948" w:type="dxa"/>
          </w:tcPr>
          <w:p w14:paraId="4E7F3CAC">
            <w:pPr>
              <w:spacing w:before="40" w:after="40" w:line="240" w:lineRule="auto"/>
            </w:pPr>
            <w:r>
              <w:rPr>
                <w:rFonts w:ascii="Times New Roman" w:hAnsi="Times New Roman" w:eastAsia="SimSun"/>
                <w:b w:val="0"/>
                <w:color w:val="000000"/>
                <w:sz w:val="20"/>
              </w:rPr>
              <w:t>国家卓越级智能工厂3家（全省第一）、市级未来工厂59家（连续五年全市第一）、省级工业互联网平台5家；规上数字化改造覆盖率87.69%</w:t>
            </w:r>
          </w:p>
        </w:tc>
        <w:tc>
          <w:tcPr>
            <w:tcW w:w="2948" w:type="dxa"/>
          </w:tcPr>
          <w:p w14:paraId="21D8F21E">
            <w:pPr>
              <w:spacing w:before="40" w:after="40" w:line="240" w:lineRule="auto"/>
            </w:pPr>
            <w:r>
              <w:rPr>
                <w:rFonts w:ascii="Times New Roman" w:hAnsi="Times New Roman" w:eastAsia="SimSun"/>
                <w:b w:val="0"/>
                <w:color w:val="000000"/>
                <w:sz w:val="20"/>
              </w:rPr>
              <w:t>标杆示范与方案验证</w:t>
            </w:r>
          </w:p>
        </w:tc>
      </w:tr>
      <w:tr w14:paraId="28738BFE">
        <w:trPr>
          <w:jc w:val="center"/>
        </w:trPr>
        <w:tc>
          <w:tcPr>
            <w:tcW w:w="2948" w:type="dxa"/>
          </w:tcPr>
          <w:p w14:paraId="780DC2B8">
            <w:pPr>
              <w:spacing w:before="40" w:after="40" w:line="240" w:lineRule="auto"/>
            </w:pPr>
            <w:r>
              <w:rPr>
                <w:rFonts w:ascii="Times New Roman" w:hAnsi="Times New Roman" w:eastAsia="SimSun"/>
                <w:b w:val="0"/>
                <w:color w:val="000000"/>
                <w:sz w:val="20"/>
              </w:rPr>
              <w:t>科创人才</w:t>
            </w:r>
          </w:p>
        </w:tc>
        <w:tc>
          <w:tcPr>
            <w:tcW w:w="2948" w:type="dxa"/>
          </w:tcPr>
          <w:p w14:paraId="6E52BFEF">
            <w:pPr>
              <w:spacing w:before="40" w:after="40" w:line="240" w:lineRule="auto"/>
            </w:pPr>
            <w:r>
              <w:rPr>
                <w:rFonts w:ascii="Times New Roman" w:hAnsi="Times New Roman" w:eastAsia="SimSun"/>
                <w:b w:val="0"/>
                <w:color w:val="000000"/>
                <w:sz w:val="20"/>
              </w:rPr>
              <w:t>R&amp;D经费69.50亿元、占GDP4.91%（2025）；全省最大高教园区；发明专利授权5378件</w:t>
            </w:r>
          </w:p>
        </w:tc>
        <w:tc>
          <w:tcPr>
            <w:tcW w:w="2948" w:type="dxa"/>
          </w:tcPr>
          <w:p w14:paraId="59E9443B">
            <w:pPr>
              <w:spacing w:before="40" w:after="40" w:line="240" w:lineRule="auto"/>
            </w:pPr>
            <w:r>
              <w:rPr>
                <w:rFonts w:ascii="Times New Roman" w:hAnsi="Times New Roman" w:eastAsia="SimSun"/>
                <w:b w:val="0"/>
                <w:color w:val="000000"/>
                <w:sz w:val="20"/>
              </w:rPr>
              <w:t>技术供给与人力资本</w:t>
            </w:r>
          </w:p>
        </w:tc>
      </w:tr>
      <w:tr w14:paraId="04078A7E">
        <w:trPr>
          <w:jc w:val="center"/>
        </w:trPr>
        <w:tc>
          <w:tcPr>
            <w:tcW w:w="2948" w:type="dxa"/>
          </w:tcPr>
          <w:p w14:paraId="631F69DA">
            <w:pPr>
              <w:spacing w:before="40" w:after="40" w:line="240" w:lineRule="auto"/>
            </w:pPr>
            <w:r>
              <w:rPr>
                <w:rFonts w:ascii="Times New Roman" w:hAnsi="Times New Roman" w:eastAsia="SimSun"/>
                <w:b w:val="0"/>
                <w:color w:val="000000"/>
                <w:sz w:val="20"/>
              </w:rPr>
              <w:t>数据算力</w:t>
            </w:r>
          </w:p>
        </w:tc>
        <w:tc>
          <w:tcPr>
            <w:tcW w:w="2948" w:type="dxa"/>
          </w:tcPr>
          <w:p w14:paraId="1E9E9133">
            <w:pPr>
              <w:spacing w:before="40" w:after="40" w:line="240" w:lineRule="auto"/>
            </w:pPr>
            <w:r>
              <w:rPr>
                <w:rFonts w:ascii="Times New Roman" w:hAnsi="Times New Roman" w:eastAsia="SimSun"/>
                <w:b w:val="0"/>
                <w:color w:val="FF0000"/>
                <w:sz w:val="20"/>
              </w:rPr>
              <w:t>待补充采集：区级算力规模、平台连接设备数、上云企业数、数据产品上架量（向经信、数据部门采集）</w:t>
            </w:r>
          </w:p>
        </w:tc>
        <w:tc>
          <w:tcPr>
            <w:tcW w:w="2948" w:type="dxa"/>
          </w:tcPr>
          <w:p w14:paraId="510799C6">
            <w:pPr>
              <w:spacing w:before="40" w:after="40" w:line="240" w:lineRule="auto"/>
            </w:pPr>
            <w:r>
              <w:rPr>
                <w:rFonts w:ascii="Times New Roman" w:hAnsi="Times New Roman" w:eastAsia="SimSun"/>
                <w:b w:val="0"/>
                <w:color w:val="000000"/>
                <w:sz w:val="20"/>
              </w:rPr>
              <w:t>数据流通物理基础</w:t>
            </w:r>
          </w:p>
        </w:tc>
      </w:tr>
      <w:tr w14:paraId="3BEBF39A">
        <w:trPr>
          <w:jc w:val="center"/>
        </w:trPr>
        <w:tc>
          <w:tcPr>
            <w:tcW w:w="2948" w:type="dxa"/>
          </w:tcPr>
          <w:p w14:paraId="739124E3">
            <w:pPr>
              <w:spacing w:before="40" w:after="40" w:line="240" w:lineRule="auto"/>
            </w:pPr>
            <w:r>
              <w:rPr>
                <w:rFonts w:ascii="Times New Roman" w:hAnsi="Times New Roman" w:eastAsia="SimSun"/>
                <w:b w:val="0"/>
                <w:color w:val="000000"/>
                <w:sz w:val="20"/>
              </w:rPr>
              <w:t>金融资本</w:t>
            </w:r>
          </w:p>
        </w:tc>
        <w:tc>
          <w:tcPr>
            <w:tcW w:w="2948" w:type="dxa"/>
          </w:tcPr>
          <w:p w14:paraId="36585EF4">
            <w:pPr>
              <w:spacing w:before="40" w:after="40" w:line="240" w:lineRule="auto"/>
            </w:pPr>
            <w:r>
              <w:rPr>
                <w:rFonts w:ascii="Times New Roman" w:hAnsi="Times New Roman" w:eastAsia="SimSun"/>
                <w:b w:val="0"/>
                <w:color w:val="000000"/>
                <w:sz w:val="20"/>
              </w:rPr>
              <w:t>2025年末贷款余额2343.41亿元；生物医药产业基金总规模超300亿元</w:t>
            </w:r>
          </w:p>
        </w:tc>
        <w:tc>
          <w:tcPr>
            <w:tcW w:w="2948" w:type="dxa"/>
          </w:tcPr>
          <w:p w14:paraId="48F048B6">
            <w:pPr>
              <w:spacing w:before="40" w:after="40" w:line="240" w:lineRule="auto"/>
            </w:pPr>
            <w:r>
              <w:rPr>
                <w:rFonts w:ascii="Times New Roman" w:hAnsi="Times New Roman" w:eastAsia="SimSun"/>
                <w:b w:val="0"/>
                <w:color w:val="000000"/>
                <w:sz w:val="20"/>
              </w:rPr>
              <w:t>分担试错风险</w:t>
            </w:r>
          </w:p>
        </w:tc>
      </w:tr>
      <w:tr w14:paraId="3BD7D2CC">
        <w:trPr>
          <w:jc w:val="center"/>
        </w:trPr>
        <w:tc>
          <w:tcPr>
            <w:tcW w:w="2948" w:type="dxa"/>
          </w:tcPr>
          <w:p w14:paraId="6ED6448A">
            <w:pPr>
              <w:spacing w:before="40" w:after="40" w:line="240" w:lineRule="auto"/>
            </w:pPr>
            <w:r>
              <w:rPr>
                <w:rFonts w:ascii="Times New Roman" w:hAnsi="Times New Roman" w:eastAsia="SimSun"/>
                <w:b w:val="0"/>
                <w:color w:val="000000"/>
                <w:sz w:val="20"/>
              </w:rPr>
              <w:t>政策工具</w:t>
            </w:r>
          </w:p>
        </w:tc>
        <w:tc>
          <w:tcPr>
            <w:tcW w:w="2948" w:type="dxa"/>
          </w:tcPr>
          <w:p w14:paraId="11BD7A56">
            <w:pPr>
              <w:spacing w:before="40" w:after="40" w:line="240" w:lineRule="auto"/>
            </w:pPr>
            <w:r>
              <w:rPr>
                <w:rFonts w:ascii="Times New Roman" w:hAnsi="Times New Roman" w:eastAsia="SimSun"/>
                <w:b w:val="0"/>
                <w:color w:val="000000"/>
                <w:sz w:val="20"/>
              </w:rPr>
              <w:t>可叠加四级政策；市级AI工厂分档奖励80/200/500万元</w:t>
            </w:r>
          </w:p>
        </w:tc>
        <w:tc>
          <w:tcPr>
            <w:tcW w:w="2948" w:type="dxa"/>
          </w:tcPr>
          <w:p w14:paraId="79C2C8B2">
            <w:pPr>
              <w:spacing w:before="40" w:after="40" w:line="240" w:lineRule="auto"/>
            </w:pPr>
            <w:r>
              <w:rPr>
                <w:rFonts w:ascii="Times New Roman" w:hAnsi="Times New Roman" w:eastAsia="SimSun"/>
                <w:b w:val="0"/>
                <w:color w:val="000000"/>
                <w:sz w:val="20"/>
              </w:rPr>
              <w:t>降成本、稳预期</w:t>
            </w:r>
          </w:p>
        </w:tc>
      </w:tr>
    </w:tbl>
    <w:p w14:paraId="6D94C908">
      <w:pPr>
        <w:spacing w:before="40" w:after="160"/>
      </w:pPr>
      <w:r>
        <w:rPr>
          <w:rFonts w:ascii="Times New Roman" w:hAnsi="Times New Roman" w:eastAsia="SimSun"/>
          <w:b w:val="0"/>
          <w:color w:val="000000"/>
          <w:sz w:val="18"/>
        </w:rPr>
        <w:t>资料来源：钱塘区2024—2025年统计公报、政府公开文件、杭州市经信局公开答复整理。</w:t>
      </w:r>
    </w:p>
    <w:p w14:paraId="2AF9D837">
      <w:pPr>
        <w:pStyle w:val="3"/>
      </w:pPr>
      <w:r>
        <w:t>（三）高价值融合场景地图</w:t>
      </w:r>
    </w:p>
    <w:p w14:paraId="39AC6408">
      <w:pPr>
        <w:spacing w:line="360" w:lineRule="auto"/>
        <w:ind w:firstLine="480" w:firstLineChars="200"/>
      </w:pPr>
      <w:r>
        <w:rPr>
          <w:rFonts w:ascii="Times New Roman" w:hAnsi="Times New Roman" w:eastAsia="SimSun"/>
          <w:b w:val="0"/>
          <w:color w:val="000000"/>
          <w:sz w:val="24"/>
        </w:rPr>
        <w:t>场景是数字技术与制造需求相遇的入口。参照工业和信息化部《智能制造典型场景参考指引（2024年版）》和《制造业企业数字化转型实施指南》，沿九个环节梳理高价值场景，并按“业务痛点、数据来源、所需技术、参与主体、资源需求、预期绩效、落地障碍”七维度建档。场景价值沿“设备数字化—车间集成—企业集成—产业链协同”逐级提升，越往产业链协同层面越依赖机制而非单纯技术。</w:t>
      </w:r>
    </w:p>
    <w:p w14:paraId="6D96EBE2">
      <w:pPr>
        <w:spacing w:before="120" w:after="60"/>
        <w:jc w:val="center"/>
      </w:pPr>
      <w:r>
        <w:rPr>
          <w:rFonts w:ascii="Times New Roman" w:hAnsi="Times New Roman" w:eastAsia="SimHei"/>
          <w:b/>
          <w:sz w:val="21"/>
        </w:rPr>
        <w:t>表4  钱塘区高端制造业融合创新高价值场景地图（简化版）</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1"/>
        <w:gridCol w:w="2211"/>
        <w:gridCol w:w="2211"/>
        <w:gridCol w:w="2211"/>
      </w:tblGrid>
      <w:tr w14:paraId="599C117E">
        <w:trPr>
          <w:jc w:val="center"/>
        </w:trPr>
        <w:tc>
          <w:tcPr>
            <w:tcW w:w="2211" w:type="dxa"/>
            <w:shd w:val="clear" w:color="auto" w:fill="D9D9D9"/>
          </w:tcPr>
          <w:p w14:paraId="371E6361">
            <w:pPr>
              <w:spacing w:before="40" w:after="40" w:line="240" w:lineRule="auto"/>
              <w:jc w:val="center"/>
            </w:pPr>
            <w:r>
              <w:rPr>
                <w:rFonts w:ascii="Times New Roman" w:hAnsi="Times New Roman" w:eastAsia="SimSun"/>
                <w:b/>
                <w:color w:val="000000"/>
                <w:sz w:val="20"/>
              </w:rPr>
              <w:t>价值链环节</w:t>
            </w:r>
          </w:p>
        </w:tc>
        <w:tc>
          <w:tcPr>
            <w:tcW w:w="2211" w:type="dxa"/>
            <w:shd w:val="clear" w:color="auto" w:fill="D9D9D9"/>
          </w:tcPr>
          <w:p w14:paraId="28AA6FA9">
            <w:pPr>
              <w:spacing w:before="40" w:after="40" w:line="240" w:lineRule="auto"/>
              <w:jc w:val="center"/>
            </w:pPr>
            <w:r>
              <w:rPr>
                <w:rFonts w:ascii="Times New Roman" w:hAnsi="Times New Roman" w:eastAsia="SimSun"/>
                <w:b/>
                <w:color w:val="000000"/>
                <w:sz w:val="20"/>
              </w:rPr>
              <w:t>典型融合场景</w:t>
            </w:r>
          </w:p>
        </w:tc>
        <w:tc>
          <w:tcPr>
            <w:tcW w:w="2211" w:type="dxa"/>
            <w:shd w:val="clear" w:color="auto" w:fill="D9D9D9"/>
          </w:tcPr>
          <w:p w14:paraId="5ED00C2A">
            <w:pPr>
              <w:spacing w:before="40" w:after="40" w:line="240" w:lineRule="auto"/>
              <w:jc w:val="center"/>
            </w:pPr>
            <w:r>
              <w:rPr>
                <w:rFonts w:ascii="Times New Roman" w:hAnsi="Times New Roman" w:eastAsia="SimSun"/>
                <w:b/>
                <w:color w:val="000000"/>
                <w:sz w:val="20"/>
              </w:rPr>
              <w:t>四大产业重点方向</w:t>
            </w:r>
          </w:p>
        </w:tc>
        <w:tc>
          <w:tcPr>
            <w:tcW w:w="2211" w:type="dxa"/>
            <w:shd w:val="clear" w:color="auto" w:fill="D9D9D9"/>
          </w:tcPr>
          <w:p w14:paraId="0123C146">
            <w:pPr>
              <w:spacing w:before="40" w:after="40" w:line="240" w:lineRule="auto"/>
              <w:jc w:val="center"/>
            </w:pPr>
            <w:r>
              <w:rPr>
                <w:rFonts w:ascii="Times New Roman" w:hAnsi="Times New Roman" w:eastAsia="SimSun"/>
                <w:b/>
                <w:color w:val="000000"/>
                <w:sz w:val="20"/>
              </w:rPr>
              <w:t>主导机制</w:t>
            </w:r>
          </w:p>
        </w:tc>
      </w:tr>
      <w:tr w14:paraId="4BF79508">
        <w:trPr>
          <w:jc w:val="center"/>
        </w:trPr>
        <w:tc>
          <w:tcPr>
            <w:tcW w:w="2211" w:type="dxa"/>
          </w:tcPr>
          <w:p w14:paraId="2B0EE03C">
            <w:pPr>
              <w:spacing w:before="40" w:after="40" w:line="240" w:lineRule="auto"/>
              <w:jc w:val="center"/>
            </w:pPr>
            <w:r>
              <w:rPr>
                <w:rFonts w:ascii="Times New Roman" w:hAnsi="Times New Roman" w:eastAsia="SimSun"/>
                <w:b w:val="0"/>
                <w:color w:val="000000"/>
                <w:sz w:val="20"/>
              </w:rPr>
              <w:t>研发设计</w:t>
            </w:r>
          </w:p>
        </w:tc>
        <w:tc>
          <w:tcPr>
            <w:tcW w:w="2211" w:type="dxa"/>
          </w:tcPr>
          <w:p w14:paraId="1DAA1C53">
            <w:pPr>
              <w:spacing w:before="40" w:after="40" w:line="240" w:lineRule="auto"/>
            </w:pPr>
            <w:r>
              <w:rPr>
                <w:rFonts w:ascii="Times New Roman" w:hAnsi="Times New Roman" w:eastAsia="SimSun"/>
                <w:b w:val="0"/>
                <w:color w:val="000000"/>
                <w:sz w:val="20"/>
              </w:rPr>
              <w:t>AI辅助设计、虚拟仿真、数字孪生样机、EDA上云</w:t>
            </w:r>
          </w:p>
        </w:tc>
        <w:tc>
          <w:tcPr>
            <w:tcW w:w="2211" w:type="dxa"/>
          </w:tcPr>
          <w:p w14:paraId="34FBABD0">
            <w:pPr>
              <w:spacing w:before="40" w:after="40" w:line="240" w:lineRule="auto"/>
            </w:pPr>
            <w:r>
              <w:rPr>
                <w:rFonts w:ascii="Times New Roman" w:hAnsi="Times New Roman" w:eastAsia="SimSun"/>
                <w:b w:val="0"/>
                <w:color w:val="000000"/>
                <w:sz w:val="20"/>
              </w:rPr>
              <w:t>AI药物发现、整车协同设计、IC设计云</w:t>
            </w:r>
          </w:p>
        </w:tc>
        <w:tc>
          <w:tcPr>
            <w:tcW w:w="2211" w:type="dxa"/>
          </w:tcPr>
          <w:p w14:paraId="664B71C0">
            <w:pPr>
              <w:spacing w:before="40" w:after="40" w:line="240" w:lineRule="auto"/>
            </w:pPr>
            <w:r>
              <w:rPr>
                <w:rFonts w:ascii="Times New Roman" w:hAnsi="Times New Roman" w:eastAsia="SimSun"/>
                <w:b w:val="0"/>
                <w:color w:val="000000"/>
                <w:sz w:val="20"/>
              </w:rPr>
              <w:t>场景牵引＋能力重构</w:t>
            </w:r>
          </w:p>
        </w:tc>
      </w:tr>
      <w:tr w14:paraId="738E3714">
        <w:trPr>
          <w:jc w:val="center"/>
        </w:trPr>
        <w:tc>
          <w:tcPr>
            <w:tcW w:w="2211" w:type="dxa"/>
          </w:tcPr>
          <w:p w14:paraId="35336B9C">
            <w:pPr>
              <w:spacing w:before="40" w:after="40" w:line="240" w:lineRule="auto"/>
              <w:jc w:val="center"/>
            </w:pPr>
            <w:r>
              <w:rPr>
                <w:rFonts w:ascii="Times New Roman" w:hAnsi="Times New Roman" w:eastAsia="SimSun"/>
                <w:b w:val="0"/>
                <w:color w:val="000000"/>
                <w:sz w:val="20"/>
              </w:rPr>
              <w:t>中试验证</w:t>
            </w:r>
          </w:p>
        </w:tc>
        <w:tc>
          <w:tcPr>
            <w:tcW w:w="2211" w:type="dxa"/>
          </w:tcPr>
          <w:p w14:paraId="066E087B">
            <w:pPr>
              <w:spacing w:before="40" w:after="40" w:line="240" w:lineRule="auto"/>
            </w:pPr>
            <w:r>
              <w:rPr>
                <w:rFonts w:ascii="Times New Roman" w:hAnsi="Times New Roman" w:eastAsia="SimSun"/>
                <w:b w:val="0"/>
                <w:color w:val="000000"/>
                <w:sz w:val="20"/>
              </w:rPr>
              <w:t>中试线共享、虚拟中试、可靠性验证</w:t>
            </w:r>
          </w:p>
        </w:tc>
        <w:tc>
          <w:tcPr>
            <w:tcW w:w="2211" w:type="dxa"/>
          </w:tcPr>
          <w:p w14:paraId="7EB08774">
            <w:pPr>
              <w:spacing w:before="40" w:after="40" w:line="240" w:lineRule="auto"/>
            </w:pPr>
            <w:r>
              <w:rPr>
                <w:rFonts w:ascii="Times New Roman" w:hAnsi="Times New Roman" w:eastAsia="SimSun"/>
                <w:b w:val="0"/>
                <w:color w:val="000000"/>
                <w:sz w:val="20"/>
              </w:rPr>
              <w:t>IC的MPW流片与封测中试、器械工程化</w:t>
            </w:r>
          </w:p>
        </w:tc>
        <w:tc>
          <w:tcPr>
            <w:tcW w:w="2211" w:type="dxa"/>
          </w:tcPr>
          <w:p w14:paraId="5D422D30">
            <w:pPr>
              <w:spacing w:before="40" w:after="40" w:line="240" w:lineRule="auto"/>
            </w:pPr>
            <w:r>
              <w:rPr>
                <w:rFonts w:ascii="Times New Roman" w:hAnsi="Times New Roman" w:eastAsia="SimSun"/>
                <w:b w:val="0"/>
                <w:color w:val="000000"/>
                <w:sz w:val="20"/>
              </w:rPr>
              <w:t>链群协同＋政策适配</w:t>
            </w:r>
          </w:p>
        </w:tc>
      </w:tr>
      <w:tr w14:paraId="50B0A471">
        <w:trPr>
          <w:jc w:val="center"/>
        </w:trPr>
        <w:tc>
          <w:tcPr>
            <w:tcW w:w="2211" w:type="dxa"/>
          </w:tcPr>
          <w:p w14:paraId="172E409A">
            <w:pPr>
              <w:spacing w:before="40" w:after="40" w:line="240" w:lineRule="auto"/>
              <w:jc w:val="center"/>
            </w:pPr>
            <w:r>
              <w:rPr>
                <w:rFonts w:ascii="Times New Roman" w:hAnsi="Times New Roman" w:eastAsia="SimSun"/>
                <w:b w:val="0"/>
                <w:color w:val="000000"/>
                <w:sz w:val="20"/>
              </w:rPr>
              <w:t>生产制造</w:t>
            </w:r>
          </w:p>
        </w:tc>
        <w:tc>
          <w:tcPr>
            <w:tcW w:w="2211" w:type="dxa"/>
          </w:tcPr>
          <w:p w14:paraId="31F0FDCF">
            <w:pPr>
              <w:spacing w:before="40" w:after="40" w:line="240" w:lineRule="auto"/>
            </w:pPr>
            <w:r>
              <w:rPr>
                <w:rFonts w:ascii="Times New Roman" w:hAnsi="Times New Roman" w:eastAsia="SimSun"/>
                <w:b w:val="0"/>
                <w:color w:val="000000"/>
                <w:sz w:val="20"/>
              </w:rPr>
              <w:t>智能排产、黑灯工厂、机器视觉、工艺优化</w:t>
            </w:r>
          </w:p>
        </w:tc>
        <w:tc>
          <w:tcPr>
            <w:tcW w:w="2211" w:type="dxa"/>
          </w:tcPr>
          <w:p w14:paraId="5F53E90E">
            <w:pPr>
              <w:spacing w:before="40" w:after="40" w:line="240" w:lineRule="auto"/>
            </w:pPr>
            <w:r>
              <w:rPr>
                <w:rFonts w:ascii="Times New Roman" w:hAnsi="Times New Roman" w:eastAsia="SimSun"/>
                <w:b w:val="0"/>
                <w:color w:val="000000"/>
                <w:sz w:val="20"/>
              </w:rPr>
              <w:t>未来工厂、卓越级智能工厂、数字化车间</w:t>
            </w:r>
          </w:p>
        </w:tc>
        <w:tc>
          <w:tcPr>
            <w:tcW w:w="2211" w:type="dxa"/>
          </w:tcPr>
          <w:p w14:paraId="51FBEDEF">
            <w:pPr>
              <w:spacing w:before="40" w:after="40" w:line="240" w:lineRule="auto"/>
            </w:pPr>
            <w:r>
              <w:rPr>
                <w:rFonts w:ascii="Times New Roman" w:hAnsi="Times New Roman" w:eastAsia="SimSun"/>
                <w:b w:val="0"/>
                <w:color w:val="000000"/>
                <w:sz w:val="20"/>
              </w:rPr>
              <w:t>企业能力重构</w:t>
            </w:r>
          </w:p>
        </w:tc>
      </w:tr>
      <w:tr w14:paraId="5FD877C0">
        <w:trPr>
          <w:jc w:val="center"/>
        </w:trPr>
        <w:tc>
          <w:tcPr>
            <w:tcW w:w="2211" w:type="dxa"/>
          </w:tcPr>
          <w:p w14:paraId="63D09E83">
            <w:pPr>
              <w:spacing w:before="40" w:after="40" w:line="240" w:lineRule="auto"/>
              <w:jc w:val="center"/>
            </w:pPr>
            <w:r>
              <w:rPr>
                <w:rFonts w:ascii="Times New Roman" w:hAnsi="Times New Roman" w:eastAsia="SimSun"/>
                <w:b w:val="0"/>
                <w:color w:val="000000"/>
                <w:sz w:val="20"/>
              </w:rPr>
              <w:t>质量控制</w:t>
            </w:r>
          </w:p>
        </w:tc>
        <w:tc>
          <w:tcPr>
            <w:tcW w:w="2211" w:type="dxa"/>
          </w:tcPr>
          <w:p w14:paraId="0CDDF500">
            <w:pPr>
              <w:spacing w:before="40" w:after="40" w:line="240" w:lineRule="auto"/>
            </w:pPr>
            <w:r>
              <w:rPr>
                <w:rFonts w:ascii="Times New Roman" w:hAnsi="Times New Roman" w:eastAsia="SimSun"/>
                <w:b w:val="0"/>
                <w:color w:val="000000"/>
                <w:sz w:val="20"/>
              </w:rPr>
              <w:t>在线视觉检测、统计过程控制、数字化监管</w:t>
            </w:r>
          </w:p>
        </w:tc>
        <w:tc>
          <w:tcPr>
            <w:tcW w:w="2211" w:type="dxa"/>
          </w:tcPr>
          <w:p w14:paraId="341A9224">
            <w:pPr>
              <w:spacing w:before="40" w:after="40" w:line="240" w:lineRule="auto"/>
            </w:pPr>
            <w:r>
              <w:rPr>
                <w:rFonts w:ascii="Times New Roman" w:hAnsi="Times New Roman" w:eastAsia="SimSun"/>
                <w:b w:val="0"/>
                <w:color w:val="000000"/>
                <w:sz w:val="20"/>
              </w:rPr>
              <w:t>药品“黑匣子”、芯片缺陷检测、整车质检</w:t>
            </w:r>
          </w:p>
        </w:tc>
        <w:tc>
          <w:tcPr>
            <w:tcW w:w="2211" w:type="dxa"/>
          </w:tcPr>
          <w:p w14:paraId="4EEA2D00">
            <w:pPr>
              <w:spacing w:before="40" w:after="40" w:line="240" w:lineRule="auto"/>
            </w:pPr>
            <w:r>
              <w:rPr>
                <w:rFonts w:ascii="Times New Roman" w:hAnsi="Times New Roman" w:eastAsia="SimSun"/>
                <w:b w:val="0"/>
                <w:color w:val="000000"/>
                <w:sz w:val="20"/>
              </w:rPr>
              <w:t>数据激活＋场景牵引</w:t>
            </w:r>
          </w:p>
        </w:tc>
      </w:tr>
      <w:tr w14:paraId="4FA18716">
        <w:trPr>
          <w:jc w:val="center"/>
        </w:trPr>
        <w:tc>
          <w:tcPr>
            <w:tcW w:w="2211" w:type="dxa"/>
          </w:tcPr>
          <w:p w14:paraId="7ADD2861">
            <w:pPr>
              <w:spacing w:before="40" w:after="40" w:line="240" w:lineRule="auto"/>
              <w:jc w:val="center"/>
            </w:pPr>
            <w:r>
              <w:rPr>
                <w:rFonts w:ascii="Times New Roman" w:hAnsi="Times New Roman" w:eastAsia="SimSun"/>
                <w:b w:val="0"/>
                <w:color w:val="000000"/>
                <w:sz w:val="20"/>
              </w:rPr>
              <w:t>设备运维</w:t>
            </w:r>
          </w:p>
        </w:tc>
        <w:tc>
          <w:tcPr>
            <w:tcW w:w="2211" w:type="dxa"/>
          </w:tcPr>
          <w:p w14:paraId="56CF785D">
            <w:pPr>
              <w:spacing w:before="40" w:after="40" w:line="240" w:lineRule="auto"/>
            </w:pPr>
            <w:r>
              <w:rPr>
                <w:rFonts w:ascii="Times New Roman" w:hAnsi="Times New Roman" w:eastAsia="SimSun"/>
                <w:b w:val="0"/>
                <w:color w:val="000000"/>
                <w:sz w:val="20"/>
              </w:rPr>
              <w:t>预测性维护、设备健康管理、远程运维</w:t>
            </w:r>
          </w:p>
        </w:tc>
        <w:tc>
          <w:tcPr>
            <w:tcW w:w="2211" w:type="dxa"/>
          </w:tcPr>
          <w:p w14:paraId="319A9612">
            <w:pPr>
              <w:spacing w:before="40" w:after="40" w:line="240" w:lineRule="auto"/>
            </w:pPr>
            <w:r>
              <w:rPr>
                <w:rFonts w:ascii="Times New Roman" w:hAnsi="Times New Roman" w:eastAsia="SimSun"/>
                <w:b w:val="0"/>
                <w:color w:val="000000"/>
                <w:sz w:val="20"/>
              </w:rPr>
              <w:t>智能装备后服务、仪表在线化</w:t>
            </w:r>
          </w:p>
        </w:tc>
        <w:tc>
          <w:tcPr>
            <w:tcW w:w="2211" w:type="dxa"/>
          </w:tcPr>
          <w:p w14:paraId="2E40B27B">
            <w:pPr>
              <w:spacing w:before="40" w:after="40" w:line="240" w:lineRule="auto"/>
            </w:pPr>
            <w:r>
              <w:rPr>
                <w:rFonts w:ascii="Times New Roman" w:hAnsi="Times New Roman" w:eastAsia="SimSun"/>
                <w:b w:val="0"/>
                <w:color w:val="000000"/>
                <w:sz w:val="20"/>
              </w:rPr>
              <w:t>企业能力重构</w:t>
            </w:r>
          </w:p>
        </w:tc>
      </w:tr>
      <w:tr w14:paraId="36C1CA17">
        <w:trPr>
          <w:jc w:val="center"/>
        </w:trPr>
        <w:tc>
          <w:tcPr>
            <w:tcW w:w="2211" w:type="dxa"/>
          </w:tcPr>
          <w:p w14:paraId="5AD11837">
            <w:pPr>
              <w:spacing w:before="40" w:after="40" w:line="240" w:lineRule="auto"/>
              <w:jc w:val="center"/>
            </w:pPr>
            <w:r>
              <w:rPr>
                <w:rFonts w:ascii="Times New Roman" w:hAnsi="Times New Roman" w:eastAsia="SimSun"/>
                <w:b w:val="0"/>
                <w:color w:val="000000"/>
                <w:sz w:val="20"/>
              </w:rPr>
              <w:t>供应链协同</w:t>
            </w:r>
          </w:p>
        </w:tc>
        <w:tc>
          <w:tcPr>
            <w:tcW w:w="2211" w:type="dxa"/>
          </w:tcPr>
          <w:p w14:paraId="66F6BF61">
            <w:pPr>
              <w:spacing w:before="40" w:after="40" w:line="240" w:lineRule="auto"/>
            </w:pPr>
            <w:r>
              <w:rPr>
                <w:rFonts w:ascii="Times New Roman" w:hAnsi="Times New Roman" w:eastAsia="SimSun"/>
                <w:b w:val="0"/>
                <w:color w:val="000000"/>
                <w:sz w:val="20"/>
              </w:rPr>
              <w:t>供需对接、风险预警、协同排产</w:t>
            </w:r>
          </w:p>
        </w:tc>
        <w:tc>
          <w:tcPr>
            <w:tcW w:w="2211" w:type="dxa"/>
          </w:tcPr>
          <w:p w14:paraId="6A8EDD8E">
            <w:pPr>
              <w:spacing w:before="40" w:after="40" w:line="240" w:lineRule="auto"/>
            </w:pPr>
            <w:r>
              <w:rPr>
                <w:rFonts w:ascii="Times New Roman" w:hAnsi="Times New Roman" w:eastAsia="SimSun"/>
                <w:b w:val="0"/>
                <w:color w:val="000000"/>
                <w:sz w:val="20"/>
              </w:rPr>
              <w:t>整车—零部件协同、原辅料追溯</w:t>
            </w:r>
          </w:p>
        </w:tc>
        <w:tc>
          <w:tcPr>
            <w:tcW w:w="2211" w:type="dxa"/>
          </w:tcPr>
          <w:p w14:paraId="113D4AFE">
            <w:pPr>
              <w:spacing w:before="40" w:after="40" w:line="240" w:lineRule="auto"/>
            </w:pPr>
            <w:r>
              <w:rPr>
                <w:rFonts w:ascii="Times New Roman" w:hAnsi="Times New Roman" w:eastAsia="SimSun"/>
                <w:b w:val="0"/>
                <w:color w:val="000000"/>
                <w:sz w:val="20"/>
              </w:rPr>
              <w:t>链群协同</w:t>
            </w:r>
          </w:p>
        </w:tc>
      </w:tr>
      <w:tr w14:paraId="0BA8B303">
        <w:trPr>
          <w:jc w:val="center"/>
        </w:trPr>
        <w:tc>
          <w:tcPr>
            <w:tcW w:w="2211" w:type="dxa"/>
          </w:tcPr>
          <w:p w14:paraId="65FB1F44">
            <w:pPr>
              <w:spacing w:before="40" w:after="40" w:line="240" w:lineRule="auto"/>
              <w:jc w:val="center"/>
            </w:pPr>
            <w:r>
              <w:rPr>
                <w:rFonts w:ascii="Times New Roman" w:hAnsi="Times New Roman" w:eastAsia="SimSun"/>
                <w:b w:val="0"/>
                <w:color w:val="000000"/>
                <w:sz w:val="20"/>
              </w:rPr>
              <w:t>能源管理</w:t>
            </w:r>
          </w:p>
        </w:tc>
        <w:tc>
          <w:tcPr>
            <w:tcW w:w="2211" w:type="dxa"/>
          </w:tcPr>
          <w:p w14:paraId="3A21A682">
            <w:pPr>
              <w:spacing w:before="40" w:after="40" w:line="240" w:lineRule="auto"/>
            </w:pPr>
            <w:r>
              <w:rPr>
                <w:rFonts w:ascii="Times New Roman" w:hAnsi="Times New Roman" w:eastAsia="SimSun"/>
                <w:b w:val="0"/>
                <w:color w:val="000000"/>
                <w:sz w:val="20"/>
              </w:rPr>
              <w:t>能碳平台、绿色低碳优化</w:t>
            </w:r>
          </w:p>
        </w:tc>
        <w:tc>
          <w:tcPr>
            <w:tcW w:w="2211" w:type="dxa"/>
          </w:tcPr>
          <w:p w14:paraId="548EDF36">
            <w:pPr>
              <w:spacing w:before="40" w:after="40" w:line="240" w:lineRule="auto"/>
            </w:pPr>
            <w:r>
              <w:rPr>
                <w:rFonts w:ascii="Times New Roman" w:hAnsi="Times New Roman" w:eastAsia="SimSun"/>
                <w:b w:val="0"/>
                <w:color w:val="000000"/>
                <w:sz w:val="20"/>
              </w:rPr>
              <w:t>高耗能工序能效优化、零碳工厂</w:t>
            </w:r>
          </w:p>
        </w:tc>
        <w:tc>
          <w:tcPr>
            <w:tcW w:w="2211" w:type="dxa"/>
          </w:tcPr>
          <w:p w14:paraId="27532E2E">
            <w:pPr>
              <w:spacing w:before="40" w:after="40" w:line="240" w:lineRule="auto"/>
            </w:pPr>
            <w:r>
              <w:rPr>
                <w:rFonts w:ascii="Times New Roman" w:hAnsi="Times New Roman" w:eastAsia="SimSun"/>
                <w:b w:val="0"/>
                <w:color w:val="000000"/>
                <w:sz w:val="20"/>
              </w:rPr>
              <w:t>政策适配＋数据激活</w:t>
            </w:r>
          </w:p>
        </w:tc>
      </w:tr>
      <w:tr w14:paraId="52112E4D">
        <w:trPr>
          <w:jc w:val="center"/>
        </w:trPr>
        <w:tc>
          <w:tcPr>
            <w:tcW w:w="2211" w:type="dxa"/>
          </w:tcPr>
          <w:p w14:paraId="51638866">
            <w:pPr>
              <w:spacing w:before="40" w:after="40" w:line="240" w:lineRule="auto"/>
              <w:jc w:val="center"/>
            </w:pPr>
            <w:r>
              <w:rPr>
                <w:rFonts w:ascii="Times New Roman" w:hAnsi="Times New Roman" w:eastAsia="SimSun"/>
                <w:b w:val="0"/>
                <w:color w:val="000000"/>
                <w:sz w:val="20"/>
              </w:rPr>
              <w:t>合规风控</w:t>
            </w:r>
          </w:p>
        </w:tc>
        <w:tc>
          <w:tcPr>
            <w:tcW w:w="2211" w:type="dxa"/>
          </w:tcPr>
          <w:p w14:paraId="6C0308C1">
            <w:pPr>
              <w:spacing w:before="40" w:after="40" w:line="240" w:lineRule="auto"/>
            </w:pPr>
            <w:r>
              <w:rPr>
                <w:rFonts w:ascii="Times New Roman" w:hAnsi="Times New Roman" w:eastAsia="SimSun"/>
                <w:b w:val="0"/>
                <w:color w:val="000000"/>
                <w:sz w:val="20"/>
              </w:rPr>
              <w:t>数据分级、知识产权风控、出口合规</w:t>
            </w:r>
          </w:p>
        </w:tc>
        <w:tc>
          <w:tcPr>
            <w:tcW w:w="2211" w:type="dxa"/>
          </w:tcPr>
          <w:p w14:paraId="76E18DCE">
            <w:pPr>
              <w:spacing w:before="40" w:after="40" w:line="240" w:lineRule="auto"/>
            </w:pPr>
            <w:r>
              <w:rPr>
                <w:rFonts w:ascii="Times New Roman" w:hAnsi="Times New Roman" w:eastAsia="SimSun"/>
                <w:b w:val="0"/>
                <w:color w:val="000000"/>
                <w:sz w:val="20"/>
              </w:rPr>
              <w:t>GMP合规、IC出口合规、车规认证</w:t>
            </w:r>
          </w:p>
        </w:tc>
        <w:tc>
          <w:tcPr>
            <w:tcW w:w="2211" w:type="dxa"/>
          </w:tcPr>
          <w:p w14:paraId="3F8993C8">
            <w:pPr>
              <w:spacing w:before="40" w:after="40" w:line="240" w:lineRule="auto"/>
            </w:pPr>
            <w:r>
              <w:rPr>
                <w:rFonts w:ascii="Times New Roman" w:hAnsi="Times New Roman" w:eastAsia="SimSun"/>
                <w:b w:val="0"/>
                <w:color w:val="000000"/>
                <w:sz w:val="20"/>
              </w:rPr>
              <w:t>政策适配</w:t>
            </w:r>
          </w:p>
        </w:tc>
      </w:tr>
      <w:tr w14:paraId="7D9AAAC5">
        <w:trPr>
          <w:jc w:val="center"/>
        </w:trPr>
        <w:tc>
          <w:tcPr>
            <w:tcW w:w="2211" w:type="dxa"/>
          </w:tcPr>
          <w:p w14:paraId="4F7AC66D">
            <w:pPr>
              <w:spacing w:before="40" w:after="40" w:line="240" w:lineRule="auto"/>
              <w:jc w:val="center"/>
            </w:pPr>
            <w:r>
              <w:rPr>
                <w:rFonts w:ascii="Times New Roman" w:hAnsi="Times New Roman" w:eastAsia="SimSun"/>
                <w:b w:val="0"/>
                <w:color w:val="000000"/>
                <w:sz w:val="20"/>
              </w:rPr>
              <w:t>市场服务</w:t>
            </w:r>
          </w:p>
        </w:tc>
        <w:tc>
          <w:tcPr>
            <w:tcW w:w="2211" w:type="dxa"/>
          </w:tcPr>
          <w:p w14:paraId="76EA7658">
            <w:pPr>
              <w:spacing w:before="40" w:after="40" w:line="240" w:lineRule="auto"/>
            </w:pPr>
            <w:r>
              <w:rPr>
                <w:rFonts w:ascii="Times New Roman" w:hAnsi="Times New Roman" w:eastAsia="SimSun"/>
                <w:b w:val="0"/>
                <w:color w:val="000000"/>
                <w:sz w:val="20"/>
              </w:rPr>
              <w:t>用户画像、C2M定制、全生命周期服务</w:t>
            </w:r>
          </w:p>
        </w:tc>
        <w:tc>
          <w:tcPr>
            <w:tcW w:w="2211" w:type="dxa"/>
          </w:tcPr>
          <w:p w14:paraId="2A9E1D61">
            <w:pPr>
              <w:spacing w:before="40" w:after="40" w:line="240" w:lineRule="auto"/>
            </w:pPr>
            <w:r>
              <w:rPr>
                <w:rFonts w:ascii="Times New Roman" w:hAnsi="Times New Roman" w:eastAsia="SimSun"/>
                <w:b w:val="0"/>
                <w:color w:val="000000"/>
                <w:sz w:val="20"/>
              </w:rPr>
              <w:t>家居定制、汽车软件订阅、器械远程服务</w:t>
            </w:r>
          </w:p>
        </w:tc>
        <w:tc>
          <w:tcPr>
            <w:tcW w:w="2211" w:type="dxa"/>
          </w:tcPr>
          <w:p w14:paraId="52127FB5">
            <w:pPr>
              <w:spacing w:before="40" w:after="40" w:line="240" w:lineRule="auto"/>
            </w:pPr>
            <w:r>
              <w:rPr>
                <w:rFonts w:ascii="Times New Roman" w:hAnsi="Times New Roman" w:eastAsia="SimSun"/>
                <w:b w:val="0"/>
                <w:color w:val="000000"/>
                <w:sz w:val="20"/>
              </w:rPr>
              <w:t>能力重构＋数据激活</w:t>
            </w:r>
          </w:p>
        </w:tc>
      </w:tr>
    </w:tbl>
    <w:p w14:paraId="30533FC4">
      <w:pPr>
        <w:spacing w:before="40" w:after="160"/>
      </w:pPr>
      <w:r>
        <w:rPr>
          <w:rFonts w:ascii="Times New Roman" w:hAnsi="Times New Roman" w:eastAsia="SimSun"/>
          <w:b w:val="0"/>
          <w:color w:val="000000"/>
          <w:sz w:val="18"/>
        </w:rPr>
        <w:t>资料来源：依据工业和信息化部相关指引，结合钱塘四大产业调研材料整理。</w:t>
      </w:r>
    </w:p>
    <w:p w14:paraId="09413E94">
      <w:pPr>
        <w:spacing w:line="360" w:lineRule="auto"/>
        <w:ind w:firstLine="480" w:firstLineChars="200"/>
      </w:pPr>
      <w:r>
        <w:rPr>
          <w:rFonts w:ascii="Times New Roman" w:hAnsi="Times New Roman" w:eastAsia="SimSun"/>
          <w:b w:val="0"/>
          <w:color w:val="000000"/>
          <w:sz w:val="24"/>
        </w:rPr>
        <w:t>场景优先级需企业需求调查支撑。</w:t>
      </w:r>
      <w:r>
        <w:rPr>
          <w:rFonts w:ascii="Times New Roman" w:hAnsi="Times New Roman" w:eastAsia="SimSun"/>
          <w:b w:val="0"/>
          <w:color w:val="FF0000"/>
          <w:sz w:val="24"/>
        </w:rPr>
        <w:t>待补充采集：建议面向四大产业发放结构化问卷（不少于150份）、开展15—20家深度访谈，采集各场景投入水平、回收期、堵点排序和服务需求，形成场景优先级评分和项目库；收集未来工厂改造前后效率、不良率、交付周期、能耗对比案例数据。</w:t>
      </w:r>
    </w:p>
    <w:p w14:paraId="4BD72516">
      <w:pPr>
        <w:pStyle w:val="2"/>
      </w:pPr>
      <w:r>
        <w:t>五、数字经济与高端制造业融合创新的五大作用机制</w:t>
      </w:r>
    </w:p>
    <w:p w14:paraId="76205E78">
      <w:pPr>
        <w:pStyle w:val="3"/>
      </w:pPr>
      <w:r>
        <w:t>（一）数据要素激活机制：让分散数据成为可流通、可决策的生产要素</w:t>
      </w:r>
    </w:p>
    <w:p w14:paraId="23900854">
      <w:pPr>
        <w:spacing w:line="360" w:lineRule="auto"/>
        <w:ind w:firstLine="480" w:firstLineChars="200"/>
      </w:pPr>
      <w:r>
        <w:rPr>
          <w:rFonts w:ascii="Times New Roman" w:hAnsi="Times New Roman" w:eastAsia="SimSun"/>
          <w:b w:val="0"/>
          <w:color w:val="000000"/>
          <w:sz w:val="24"/>
        </w:rPr>
        <w:t>数据要素流动性强、非消耗、规模报酬递增，但其激活要经过“资源化—资产化—资本化”治理过程，沿三条路径作用于高端制造：企业内部数据贯通，把研发、生产、质量、设备、供应链数据汇聚到统一底座支撑决策；产业链数据共享，链主向配套开放订单、排产、质量标准数据，配套回交产能、库存、进度数据，降低协同不确定性；公共数据授权运营，政府监管、信用、能耗、空间数据经合规授权向企业开放。钱塘制造业场景丰富、工业互联网平台已有基础、杭州可信数据空间正在建设、医药监管数据质量高，具备激活条件，但需解决三个前提：统一数据分类分级和接口标准；以隐私计算、区块链、数据使用控制构建“可用不可见、可控可计量”的流通环境；明确收益分配和安全责任规则。集成电路产业“设计与制造沟通不畅、方案难以快速转化”，本质正是产业链数据无法低成本可信流通。</w:t>
      </w:r>
    </w:p>
    <w:p w14:paraId="1FDA4588">
      <w:pPr>
        <w:pStyle w:val="3"/>
      </w:pPr>
      <w:r>
        <w:t>（二）场景牵引机制：以真实问题倒逼技术集成与方案成熟</w:t>
      </w:r>
    </w:p>
    <w:p w14:paraId="6B778A20">
      <w:pPr>
        <w:spacing w:line="360" w:lineRule="auto"/>
        <w:ind w:firstLine="480" w:firstLineChars="200"/>
      </w:pPr>
      <w:r>
        <w:rPr>
          <w:rFonts w:ascii="Times New Roman" w:hAnsi="Times New Roman" w:eastAsia="SimSun"/>
          <w:b w:val="0"/>
          <w:color w:val="000000"/>
          <w:sz w:val="24"/>
        </w:rPr>
        <w:t>数字技术价值在场景中验证，作用链条是“企业出题—平台助题—服务商答题—车间验题—市场评题”，与杭州提出的协同攻关机制一致。制造业大区的真实场景是钱塘相对纯数字城区的比较优势：医药港合规生产、整车复杂供应链、半导体高精密制造，都是算法和工业软件迭代必需的“训练数据＋验证环境”。机制有效运转需三个条件：场景要被“组织出来”，建立开放场景清单和“揭榜挂帅”机制；验证环境要公共化，建设中试、检测认证、仿真验证平台以降低中小企业试错成本；以首台（套）、首批次、首版次容错采购支持本地方案“用起来、迭代起来”。钱塘IC公共技术平台不足、初创企业流片测试成本高，正是缺少公共验证环节的表现。</w:t>
      </w:r>
    </w:p>
    <w:p w14:paraId="1D8E91A6">
      <w:pPr>
        <w:pStyle w:val="3"/>
      </w:pPr>
      <w:r>
        <w:t>（三）企业能力重构机制：从设备投入走向组织、技能与商业模式系统变革</w:t>
      </w:r>
    </w:p>
    <w:p w14:paraId="60D47B94">
      <w:pPr>
        <w:spacing w:line="360" w:lineRule="auto"/>
        <w:ind w:firstLine="480" w:firstLineChars="200"/>
      </w:pPr>
      <w:r>
        <w:rPr>
          <w:rFonts w:ascii="Times New Roman" w:hAnsi="Times New Roman" w:eastAsia="SimSun"/>
          <w:b w:val="0"/>
          <w:color w:val="000000"/>
          <w:sz w:val="24"/>
        </w:rPr>
        <w:t>技术投入只有嵌入组织流程和商业模式才能形成绩效。能力重构含四层次：生产运营重构（设备联网、系统集成、数据驱动现场管理）、研发创新重构（仿真、AI、知识管理压缩研发周期）、组织决策重构（科层制转向数据驱动敏捷组织、干部和工人技能同步升级）、商业模式重构（从卖产品转向“产品＋服务”）。其遵循“吸收能力—互补资产—持续学习”逻辑：既有研发和工程师队伍决定技术吸收能力，高质量数据、流程标准和组织授权是互补资产，持续学习保证迭代。iFinD样本显示企业研发强度差异悬殊，决定了政策不能只补贴设备软件，更要补贴“诊断咨询—流程再造—人员培训—持续运维”的能力建设过程。2025年钱塘规模以上工业全员劳动生产率44.73万元/人、亩均增加值199万元，效率红利正在释放，需以机制设计扩大覆盖面。</w:t>
      </w:r>
    </w:p>
    <w:p w14:paraId="74D44CBE">
      <w:pPr>
        <w:pStyle w:val="3"/>
      </w:pPr>
      <w:r>
        <w:t>（四）链群协同机制：以链主开放和平台组织带动创新扩散</w:t>
      </w:r>
    </w:p>
    <w:p w14:paraId="43593ED4">
      <w:pPr>
        <w:spacing w:line="360" w:lineRule="auto"/>
        <w:ind w:firstLine="480" w:firstLineChars="200"/>
      </w:pPr>
      <w:r>
        <w:rPr>
          <w:rFonts w:ascii="Times New Roman" w:hAnsi="Times New Roman" w:eastAsia="SimSun"/>
          <w:b w:val="0"/>
          <w:color w:val="000000"/>
          <w:sz w:val="24"/>
        </w:rPr>
        <w:t>高端制造竞争已转向产业链和集群竞争，协同含三类：纵向协同，链主开放订单、标准、接口和工具，带动配套同步改造；横向协同，同环节企业借产业大脑和行业平台共享产能、检测、仓储和供应链金融；网络协同，高校、机构、服务商、金融和政府平台构成创新网络。钱塘具备独特优势：新能源汽车“3家整车＋70余家规上配套”、整车产量占全市96.8%天然要求深度协同，生物医药“六链融合”积累了组织经验，“芯智造”链长制连续获评省级示范。但集聚不会自动协同，障碍在于链主开放动力不足、中小企业“接不上链”、平台公共品属性与商业化运营存在张力。机制设计关键是：把链主供应链协同投入认定为公共性贡献并激励，把中小企业“上链用平台”成本通过数改券、服务券降到足够低，把园区建成兼具公共属性和可持续运营能力的“产业数字化运营商”。</w:t>
      </w:r>
    </w:p>
    <w:p w14:paraId="48D3FAD5">
      <w:pPr>
        <w:pStyle w:val="3"/>
      </w:pPr>
      <w:r>
        <w:t>（五）政策适配机制：以工具组合降成本、分风险、稳预期</w:t>
      </w:r>
    </w:p>
    <w:p w14:paraId="474B3714">
      <w:pPr>
        <w:spacing w:line="360" w:lineRule="auto"/>
        <w:ind w:firstLine="480" w:firstLineChars="200"/>
      </w:pPr>
      <w:r>
        <w:rPr>
          <w:rFonts w:ascii="Times New Roman" w:hAnsi="Times New Roman" w:eastAsia="SimSun"/>
          <w:b w:val="0"/>
          <w:color w:val="000000"/>
          <w:sz w:val="24"/>
        </w:rPr>
        <w:t>融合创新具有正外部性和不确定性，投入大、回收期长、收益外溢，需要政策矫正，工具包括：成本分担（技改补贴、数改券、AI工厂奖励、上云补贴）、风险分担（产业基金、融资担保、知识产权质押、科技保险）、信号引导（数字化车间—智能工厂—未来工厂—卓越级智能工厂梯度认定）、制度供给（数据规则、标准接口、人才认定、容错机制）和供需撮合（场景清单、揭榜榜单、服务商目录）。政策适配的核心不是单项力度而是组合性与精准性。钱塘可承接省数字化改造全覆盖、市数改券和AI工厂奖励及区级技改政策，资源并不少，企业更多反映政策碎片化、申报成本高、兑现周期长、评估“重投入轻实效”。升级方向是从“补贴竞赛”转向“场景包＋能力包＋服务包”精准滴灌，并以绩效评价驱动迭代闭环。</w:t>
      </w:r>
    </w:p>
    <w:p w14:paraId="72C7BA11">
      <w:pPr>
        <w:spacing w:line="360" w:lineRule="auto"/>
        <w:ind w:firstLine="480" w:firstLineChars="200"/>
      </w:pPr>
      <w:r>
        <w:rPr>
          <w:rFonts w:ascii="Times New Roman" w:hAnsi="Times New Roman" w:eastAsia="SimSun"/>
          <w:b w:val="0"/>
          <w:color w:val="000000"/>
          <w:sz w:val="24"/>
        </w:rPr>
        <w:t>五类机制在场景中耦合：数据是纽带、场景是入口、企业能力是内因、链群协同是放大器、政策适配是保障，任一缺位都会形成瓶颈，构成下一章堵点诊断的分析坐标。</w:t>
      </w:r>
    </w:p>
    <w:p w14:paraId="0E2465DA">
      <w:pPr>
        <w:pStyle w:val="2"/>
      </w:pPr>
      <w:r>
        <w:t>六、融合创新绩效评价体系与堵点诊断</w:t>
      </w:r>
    </w:p>
    <w:p w14:paraId="4BA0FB09">
      <w:pPr>
        <w:pStyle w:val="3"/>
      </w:pPr>
      <w:r>
        <w:t>（一）“能力—过程—绩效”三层评价体系</w:t>
      </w:r>
    </w:p>
    <w:p w14:paraId="3C75E436">
      <w:pPr>
        <w:spacing w:line="360" w:lineRule="auto"/>
        <w:ind w:firstLine="480" w:firstLineChars="200"/>
      </w:pPr>
      <w:r>
        <w:rPr>
          <w:rFonts w:ascii="Times New Roman" w:hAnsi="Times New Roman" w:eastAsia="SimSun"/>
          <w:b w:val="0"/>
          <w:color w:val="000000"/>
          <w:sz w:val="24"/>
        </w:rPr>
        <w:t>为使机制可评估、政策可迭代，构建两组指标：融合创新投入与能力指标衡量“转的基础和过程”，发展绩效指标衡量“转的效果和质量”，遵循可获得、可比较、可分解原则，与统计口径和梯度认定衔接，区分客观统计指标与问卷感知指标。</w:t>
      </w:r>
    </w:p>
    <w:p w14:paraId="5025B156">
      <w:pPr>
        <w:spacing w:before="120" w:after="60"/>
        <w:jc w:val="center"/>
      </w:pPr>
      <w:r>
        <w:rPr>
          <w:rFonts w:ascii="Times New Roman" w:hAnsi="Times New Roman" w:eastAsia="SimHei"/>
          <w:b/>
          <w:sz w:val="21"/>
        </w:rPr>
        <w:t>表5  钱塘区融合创新绩效评价指标体系</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1"/>
        <w:gridCol w:w="2211"/>
        <w:gridCol w:w="2211"/>
        <w:gridCol w:w="2211"/>
      </w:tblGrid>
      <w:tr w14:paraId="709F6BB2">
        <w:trPr>
          <w:jc w:val="center"/>
        </w:trPr>
        <w:tc>
          <w:tcPr>
            <w:tcW w:w="2211" w:type="dxa"/>
            <w:shd w:val="clear" w:color="auto" w:fill="D9D9D9"/>
          </w:tcPr>
          <w:p w14:paraId="7EBBE0F7">
            <w:pPr>
              <w:spacing w:before="40" w:after="40" w:line="240" w:lineRule="auto"/>
              <w:jc w:val="center"/>
            </w:pPr>
            <w:r>
              <w:rPr>
                <w:rFonts w:ascii="Times New Roman" w:hAnsi="Times New Roman" w:eastAsia="SimSun"/>
                <w:b/>
                <w:color w:val="000000"/>
                <w:sz w:val="20"/>
              </w:rPr>
              <w:t>维度</w:t>
            </w:r>
          </w:p>
        </w:tc>
        <w:tc>
          <w:tcPr>
            <w:tcW w:w="2211" w:type="dxa"/>
            <w:shd w:val="clear" w:color="auto" w:fill="D9D9D9"/>
          </w:tcPr>
          <w:p w14:paraId="4A0E0067">
            <w:pPr>
              <w:spacing w:before="40" w:after="40" w:line="240" w:lineRule="auto"/>
              <w:jc w:val="center"/>
            </w:pPr>
            <w:r>
              <w:rPr>
                <w:rFonts w:ascii="Times New Roman" w:hAnsi="Times New Roman" w:eastAsia="SimSun"/>
                <w:b/>
                <w:color w:val="000000"/>
                <w:sz w:val="20"/>
              </w:rPr>
              <w:t>一级指标</w:t>
            </w:r>
          </w:p>
        </w:tc>
        <w:tc>
          <w:tcPr>
            <w:tcW w:w="2211" w:type="dxa"/>
            <w:shd w:val="clear" w:color="auto" w:fill="D9D9D9"/>
          </w:tcPr>
          <w:p w14:paraId="25B356E0">
            <w:pPr>
              <w:spacing w:before="40" w:after="40" w:line="240" w:lineRule="auto"/>
              <w:jc w:val="center"/>
            </w:pPr>
            <w:r>
              <w:rPr>
                <w:rFonts w:ascii="Times New Roman" w:hAnsi="Times New Roman" w:eastAsia="SimSun"/>
                <w:b/>
                <w:color w:val="000000"/>
                <w:sz w:val="20"/>
              </w:rPr>
              <w:t>二级指标（示例）</w:t>
            </w:r>
          </w:p>
        </w:tc>
        <w:tc>
          <w:tcPr>
            <w:tcW w:w="2211" w:type="dxa"/>
            <w:shd w:val="clear" w:color="auto" w:fill="D9D9D9"/>
          </w:tcPr>
          <w:p w14:paraId="08874B67">
            <w:pPr>
              <w:spacing w:before="40" w:after="40" w:line="240" w:lineRule="auto"/>
              <w:jc w:val="center"/>
            </w:pPr>
            <w:r>
              <w:rPr>
                <w:rFonts w:ascii="Times New Roman" w:hAnsi="Times New Roman" w:eastAsia="SimSun"/>
                <w:b/>
                <w:color w:val="000000"/>
                <w:sz w:val="20"/>
              </w:rPr>
              <w:t>数据来源</w:t>
            </w:r>
          </w:p>
        </w:tc>
      </w:tr>
      <w:tr w14:paraId="69986B69">
        <w:trPr>
          <w:jc w:val="center"/>
        </w:trPr>
        <w:tc>
          <w:tcPr>
            <w:tcW w:w="2211" w:type="dxa"/>
          </w:tcPr>
          <w:p w14:paraId="544A89B1">
            <w:pPr>
              <w:spacing w:before="40" w:after="40" w:line="240" w:lineRule="auto"/>
              <w:jc w:val="center"/>
            </w:pPr>
            <w:r>
              <w:rPr>
                <w:rFonts w:ascii="Times New Roman" w:hAnsi="Times New Roman" w:eastAsia="SimSun"/>
                <w:b w:val="0"/>
                <w:color w:val="000000"/>
                <w:sz w:val="20"/>
              </w:rPr>
              <w:t>投入能力</w:t>
            </w:r>
          </w:p>
        </w:tc>
        <w:tc>
          <w:tcPr>
            <w:tcW w:w="2211" w:type="dxa"/>
          </w:tcPr>
          <w:p w14:paraId="3A2DDAFC">
            <w:pPr>
              <w:spacing w:before="40" w:after="40" w:line="240" w:lineRule="auto"/>
            </w:pPr>
            <w:r>
              <w:rPr>
                <w:rFonts w:ascii="Times New Roman" w:hAnsi="Times New Roman" w:eastAsia="SimSun"/>
                <w:b w:val="0"/>
                <w:color w:val="000000"/>
                <w:sz w:val="20"/>
              </w:rPr>
              <w:t>数据治理能力</w:t>
            </w:r>
          </w:p>
        </w:tc>
        <w:tc>
          <w:tcPr>
            <w:tcW w:w="2211" w:type="dxa"/>
          </w:tcPr>
          <w:p w14:paraId="4ACB1FEB">
            <w:pPr>
              <w:spacing w:before="40" w:after="40" w:line="240" w:lineRule="auto"/>
            </w:pPr>
            <w:r>
              <w:rPr>
                <w:rFonts w:ascii="Times New Roman" w:hAnsi="Times New Roman" w:eastAsia="SimSun"/>
                <w:b w:val="0"/>
                <w:color w:val="000000"/>
                <w:sz w:val="20"/>
              </w:rPr>
              <w:t>分类分级覆盖率、主数据治理完成度、工业数据汇聚量</w:t>
            </w:r>
          </w:p>
        </w:tc>
        <w:tc>
          <w:tcPr>
            <w:tcW w:w="2211" w:type="dxa"/>
          </w:tcPr>
          <w:p w14:paraId="43DDF4EC">
            <w:pPr>
              <w:spacing w:before="40" w:after="40" w:line="240" w:lineRule="auto"/>
            </w:pPr>
            <w:r>
              <w:rPr>
                <w:rFonts w:ascii="Times New Roman" w:hAnsi="Times New Roman" w:eastAsia="SimSun"/>
                <w:b w:val="0"/>
                <w:color w:val="000000"/>
                <w:sz w:val="20"/>
              </w:rPr>
              <w:t>问卷／平台后台</w:t>
            </w:r>
          </w:p>
        </w:tc>
      </w:tr>
      <w:tr w14:paraId="1AC641B3">
        <w:trPr>
          <w:jc w:val="center"/>
        </w:trPr>
        <w:tc>
          <w:tcPr>
            <w:tcW w:w="2211" w:type="dxa"/>
          </w:tcPr>
          <w:p w14:paraId="787CBAA6">
            <w:pPr>
              <w:spacing w:before="40" w:after="40" w:line="240" w:lineRule="auto"/>
              <w:jc w:val="center"/>
            </w:pPr>
            <w:r>
              <w:rPr>
                <w:rFonts w:ascii="Times New Roman" w:hAnsi="Times New Roman" w:eastAsia="SimSun"/>
                <w:b w:val="0"/>
                <w:color w:val="000000"/>
                <w:sz w:val="20"/>
              </w:rPr>
              <w:t>投入能力</w:t>
            </w:r>
          </w:p>
        </w:tc>
        <w:tc>
          <w:tcPr>
            <w:tcW w:w="2211" w:type="dxa"/>
          </w:tcPr>
          <w:p w14:paraId="0DF66759">
            <w:pPr>
              <w:spacing w:before="40" w:after="40" w:line="240" w:lineRule="auto"/>
            </w:pPr>
            <w:r>
              <w:rPr>
                <w:rFonts w:ascii="Times New Roman" w:hAnsi="Times New Roman" w:eastAsia="SimSun"/>
                <w:b w:val="0"/>
                <w:color w:val="000000"/>
                <w:sz w:val="20"/>
              </w:rPr>
              <w:t>算力软件可得性</w:t>
            </w:r>
          </w:p>
        </w:tc>
        <w:tc>
          <w:tcPr>
            <w:tcW w:w="2211" w:type="dxa"/>
          </w:tcPr>
          <w:p w14:paraId="4D3FE27A">
            <w:pPr>
              <w:spacing w:before="40" w:after="40" w:line="240" w:lineRule="auto"/>
            </w:pPr>
            <w:r>
              <w:rPr>
                <w:rFonts w:ascii="Times New Roman" w:hAnsi="Times New Roman" w:eastAsia="SimSun"/>
                <w:b w:val="0"/>
                <w:color w:val="000000"/>
                <w:sz w:val="20"/>
              </w:rPr>
              <w:t>工业云使用率、工业软件投入强度、公共算力使用率</w:t>
            </w:r>
          </w:p>
        </w:tc>
        <w:tc>
          <w:tcPr>
            <w:tcW w:w="2211" w:type="dxa"/>
          </w:tcPr>
          <w:p w14:paraId="37CF6974">
            <w:pPr>
              <w:spacing w:before="40" w:after="40" w:line="240" w:lineRule="auto"/>
            </w:pPr>
            <w:r>
              <w:rPr>
                <w:rFonts w:ascii="Times New Roman" w:hAnsi="Times New Roman" w:eastAsia="SimSun"/>
                <w:b w:val="0"/>
                <w:color w:val="000000"/>
                <w:sz w:val="20"/>
              </w:rPr>
              <w:t>问卷／iFinD</w:t>
            </w:r>
          </w:p>
        </w:tc>
      </w:tr>
      <w:tr w14:paraId="7E0C79A7">
        <w:trPr>
          <w:jc w:val="center"/>
        </w:trPr>
        <w:tc>
          <w:tcPr>
            <w:tcW w:w="2211" w:type="dxa"/>
          </w:tcPr>
          <w:p w14:paraId="7B418786">
            <w:pPr>
              <w:spacing w:before="40" w:after="40" w:line="240" w:lineRule="auto"/>
              <w:jc w:val="center"/>
            </w:pPr>
            <w:r>
              <w:rPr>
                <w:rFonts w:ascii="Times New Roman" w:hAnsi="Times New Roman" w:eastAsia="SimSun"/>
                <w:b w:val="0"/>
                <w:color w:val="000000"/>
                <w:sz w:val="20"/>
              </w:rPr>
              <w:t>投入能力</w:t>
            </w:r>
          </w:p>
        </w:tc>
        <w:tc>
          <w:tcPr>
            <w:tcW w:w="2211" w:type="dxa"/>
          </w:tcPr>
          <w:p w14:paraId="614FA87E">
            <w:pPr>
              <w:spacing w:before="40" w:after="40" w:line="240" w:lineRule="auto"/>
            </w:pPr>
            <w:r>
              <w:rPr>
                <w:rFonts w:ascii="Times New Roman" w:hAnsi="Times New Roman" w:eastAsia="SimSun"/>
                <w:b w:val="0"/>
                <w:color w:val="000000"/>
                <w:sz w:val="20"/>
              </w:rPr>
              <w:t>智能场景覆盖</w:t>
            </w:r>
          </w:p>
        </w:tc>
        <w:tc>
          <w:tcPr>
            <w:tcW w:w="2211" w:type="dxa"/>
          </w:tcPr>
          <w:p w14:paraId="72BB29F9">
            <w:pPr>
              <w:spacing w:before="40" w:after="40" w:line="240" w:lineRule="auto"/>
            </w:pPr>
            <w:r>
              <w:rPr>
                <w:rFonts w:ascii="Times New Roman" w:hAnsi="Times New Roman" w:eastAsia="SimSun"/>
                <w:b w:val="0"/>
                <w:color w:val="000000"/>
                <w:sz w:val="20"/>
              </w:rPr>
              <w:t>梯度工厂层级、九类场景覆盖数</w:t>
            </w:r>
          </w:p>
        </w:tc>
        <w:tc>
          <w:tcPr>
            <w:tcW w:w="2211" w:type="dxa"/>
          </w:tcPr>
          <w:p w14:paraId="40105286">
            <w:pPr>
              <w:spacing w:before="40" w:after="40" w:line="240" w:lineRule="auto"/>
            </w:pPr>
            <w:r>
              <w:rPr>
                <w:rFonts w:ascii="Times New Roman" w:hAnsi="Times New Roman" w:eastAsia="SimSun"/>
                <w:b w:val="0"/>
                <w:color w:val="000000"/>
                <w:sz w:val="20"/>
              </w:rPr>
              <w:t>经信部门认定</w:t>
            </w:r>
          </w:p>
        </w:tc>
      </w:tr>
      <w:tr w14:paraId="2939A1E4">
        <w:trPr>
          <w:jc w:val="center"/>
        </w:trPr>
        <w:tc>
          <w:tcPr>
            <w:tcW w:w="2211" w:type="dxa"/>
          </w:tcPr>
          <w:p w14:paraId="66B27DFF">
            <w:pPr>
              <w:spacing w:before="40" w:after="40" w:line="240" w:lineRule="auto"/>
              <w:jc w:val="center"/>
            </w:pPr>
            <w:r>
              <w:rPr>
                <w:rFonts w:ascii="Times New Roman" w:hAnsi="Times New Roman" w:eastAsia="SimSun"/>
                <w:b w:val="0"/>
                <w:color w:val="000000"/>
                <w:sz w:val="20"/>
              </w:rPr>
              <w:t>投入能力</w:t>
            </w:r>
          </w:p>
        </w:tc>
        <w:tc>
          <w:tcPr>
            <w:tcW w:w="2211" w:type="dxa"/>
          </w:tcPr>
          <w:p w14:paraId="2F4E9BAC">
            <w:pPr>
              <w:spacing w:before="40" w:after="40" w:line="240" w:lineRule="auto"/>
            </w:pPr>
            <w:r>
              <w:rPr>
                <w:rFonts w:ascii="Times New Roman" w:hAnsi="Times New Roman" w:eastAsia="SimSun"/>
                <w:b w:val="0"/>
                <w:color w:val="000000"/>
                <w:sz w:val="20"/>
              </w:rPr>
              <w:t>平台协同水平</w:t>
            </w:r>
          </w:p>
        </w:tc>
        <w:tc>
          <w:tcPr>
            <w:tcW w:w="2211" w:type="dxa"/>
          </w:tcPr>
          <w:p w14:paraId="716357DE">
            <w:pPr>
              <w:spacing w:before="40" w:after="40" w:line="240" w:lineRule="auto"/>
            </w:pPr>
            <w:r>
              <w:rPr>
                <w:rFonts w:ascii="Times New Roman" w:hAnsi="Times New Roman" w:eastAsia="SimSun"/>
                <w:b w:val="0"/>
                <w:color w:val="000000"/>
                <w:sz w:val="20"/>
              </w:rPr>
              <w:t>上平台企业数、协同接口开放数、平台活跃度</w:t>
            </w:r>
          </w:p>
        </w:tc>
        <w:tc>
          <w:tcPr>
            <w:tcW w:w="2211" w:type="dxa"/>
          </w:tcPr>
          <w:p w14:paraId="0F2657EC">
            <w:pPr>
              <w:spacing w:before="40" w:after="40" w:line="240" w:lineRule="auto"/>
            </w:pPr>
            <w:r>
              <w:rPr>
                <w:rFonts w:ascii="Times New Roman" w:hAnsi="Times New Roman" w:eastAsia="SimSun"/>
                <w:b w:val="0"/>
                <w:color w:val="000000"/>
                <w:sz w:val="20"/>
              </w:rPr>
              <w:t>工业互联网平台</w:t>
            </w:r>
          </w:p>
        </w:tc>
      </w:tr>
      <w:tr w14:paraId="46AE3D1A">
        <w:trPr>
          <w:jc w:val="center"/>
        </w:trPr>
        <w:tc>
          <w:tcPr>
            <w:tcW w:w="2211" w:type="dxa"/>
          </w:tcPr>
          <w:p w14:paraId="31664775">
            <w:pPr>
              <w:spacing w:before="40" w:after="40" w:line="240" w:lineRule="auto"/>
              <w:jc w:val="center"/>
            </w:pPr>
            <w:r>
              <w:rPr>
                <w:rFonts w:ascii="Times New Roman" w:hAnsi="Times New Roman" w:eastAsia="SimSun"/>
                <w:b w:val="0"/>
                <w:color w:val="000000"/>
                <w:sz w:val="20"/>
              </w:rPr>
              <w:t>投入能力</w:t>
            </w:r>
          </w:p>
        </w:tc>
        <w:tc>
          <w:tcPr>
            <w:tcW w:w="2211" w:type="dxa"/>
          </w:tcPr>
          <w:p w14:paraId="1C00D8A4">
            <w:pPr>
              <w:spacing w:before="40" w:after="40" w:line="240" w:lineRule="auto"/>
            </w:pPr>
            <w:r>
              <w:rPr>
                <w:rFonts w:ascii="Times New Roman" w:hAnsi="Times New Roman" w:eastAsia="SimSun"/>
                <w:b w:val="0"/>
                <w:color w:val="000000"/>
                <w:sz w:val="20"/>
              </w:rPr>
              <w:t>人才金融支撑</w:t>
            </w:r>
          </w:p>
        </w:tc>
        <w:tc>
          <w:tcPr>
            <w:tcW w:w="2211" w:type="dxa"/>
          </w:tcPr>
          <w:p w14:paraId="3B59BCBE">
            <w:pPr>
              <w:spacing w:before="40" w:after="40" w:line="240" w:lineRule="auto"/>
            </w:pPr>
            <w:r>
              <w:rPr>
                <w:rFonts w:ascii="Times New Roman" w:hAnsi="Times New Roman" w:eastAsia="SimSun"/>
                <w:b w:val="0"/>
                <w:color w:val="000000"/>
                <w:sz w:val="20"/>
              </w:rPr>
              <w:t>数字化人才占比、R&amp;D强度、科技贷款、基金规模</w:t>
            </w:r>
          </w:p>
        </w:tc>
        <w:tc>
          <w:tcPr>
            <w:tcW w:w="2211" w:type="dxa"/>
          </w:tcPr>
          <w:p w14:paraId="5B15978B">
            <w:pPr>
              <w:spacing w:before="40" w:after="40" w:line="240" w:lineRule="auto"/>
            </w:pPr>
            <w:r>
              <w:rPr>
                <w:rFonts w:ascii="Times New Roman" w:hAnsi="Times New Roman" w:eastAsia="SimSun"/>
                <w:b w:val="0"/>
                <w:color w:val="000000"/>
                <w:sz w:val="20"/>
              </w:rPr>
              <w:t>统计／金融部门</w:t>
            </w:r>
          </w:p>
        </w:tc>
      </w:tr>
      <w:tr w14:paraId="1C055F43">
        <w:trPr>
          <w:jc w:val="center"/>
        </w:trPr>
        <w:tc>
          <w:tcPr>
            <w:tcW w:w="2211" w:type="dxa"/>
          </w:tcPr>
          <w:p w14:paraId="193BB75A">
            <w:pPr>
              <w:spacing w:before="40" w:after="40" w:line="240" w:lineRule="auto"/>
              <w:jc w:val="center"/>
            </w:pPr>
            <w:r>
              <w:rPr>
                <w:rFonts w:ascii="Times New Roman" w:hAnsi="Times New Roman" w:eastAsia="SimSun"/>
                <w:b w:val="0"/>
                <w:color w:val="000000"/>
                <w:sz w:val="20"/>
              </w:rPr>
              <w:t>过程机制</w:t>
            </w:r>
          </w:p>
        </w:tc>
        <w:tc>
          <w:tcPr>
            <w:tcW w:w="2211" w:type="dxa"/>
          </w:tcPr>
          <w:p w14:paraId="69D45998">
            <w:pPr>
              <w:spacing w:before="40" w:after="40" w:line="240" w:lineRule="auto"/>
            </w:pPr>
            <w:r>
              <w:rPr>
                <w:rFonts w:ascii="Times New Roman" w:hAnsi="Times New Roman" w:eastAsia="SimSun"/>
                <w:b w:val="0"/>
                <w:color w:val="000000"/>
                <w:sz w:val="20"/>
              </w:rPr>
              <w:t>政策可及性</w:t>
            </w:r>
          </w:p>
        </w:tc>
        <w:tc>
          <w:tcPr>
            <w:tcW w:w="2211" w:type="dxa"/>
          </w:tcPr>
          <w:p w14:paraId="53A406A5">
            <w:pPr>
              <w:spacing w:before="40" w:after="40" w:line="240" w:lineRule="auto"/>
            </w:pPr>
            <w:r>
              <w:rPr>
                <w:rFonts w:ascii="Times New Roman" w:hAnsi="Times New Roman" w:eastAsia="SimSun"/>
                <w:b w:val="0"/>
                <w:color w:val="000000"/>
                <w:sz w:val="20"/>
              </w:rPr>
              <w:t>知晓率、申报成功率、兑现周期、数改券使用率</w:t>
            </w:r>
          </w:p>
        </w:tc>
        <w:tc>
          <w:tcPr>
            <w:tcW w:w="2211" w:type="dxa"/>
          </w:tcPr>
          <w:p w14:paraId="4A4DB143">
            <w:pPr>
              <w:spacing w:before="40" w:after="40" w:line="240" w:lineRule="auto"/>
            </w:pPr>
            <w:r>
              <w:rPr>
                <w:rFonts w:ascii="Times New Roman" w:hAnsi="Times New Roman" w:eastAsia="SimSun"/>
                <w:b w:val="0"/>
                <w:color w:val="000000"/>
                <w:sz w:val="20"/>
              </w:rPr>
              <w:t>政策台账／问卷</w:t>
            </w:r>
          </w:p>
        </w:tc>
      </w:tr>
      <w:tr w14:paraId="1AED85CE">
        <w:trPr>
          <w:jc w:val="center"/>
        </w:trPr>
        <w:tc>
          <w:tcPr>
            <w:tcW w:w="2211" w:type="dxa"/>
          </w:tcPr>
          <w:p w14:paraId="7C324CFC">
            <w:pPr>
              <w:spacing w:before="40" w:after="40" w:line="240" w:lineRule="auto"/>
              <w:jc w:val="center"/>
            </w:pPr>
            <w:r>
              <w:rPr>
                <w:rFonts w:ascii="Times New Roman" w:hAnsi="Times New Roman" w:eastAsia="SimSun"/>
                <w:b w:val="0"/>
                <w:color w:val="000000"/>
                <w:sz w:val="20"/>
              </w:rPr>
              <w:t>发展绩效</w:t>
            </w:r>
          </w:p>
        </w:tc>
        <w:tc>
          <w:tcPr>
            <w:tcW w:w="2211" w:type="dxa"/>
          </w:tcPr>
          <w:p w14:paraId="0DB6CA49">
            <w:pPr>
              <w:spacing w:before="40" w:after="40" w:line="240" w:lineRule="auto"/>
            </w:pPr>
            <w:r>
              <w:rPr>
                <w:rFonts w:ascii="Times New Roman" w:hAnsi="Times New Roman" w:eastAsia="SimSun"/>
                <w:b w:val="0"/>
                <w:color w:val="000000"/>
                <w:sz w:val="20"/>
              </w:rPr>
              <w:t>创新绩效</w:t>
            </w:r>
          </w:p>
        </w:tc>
        <w:tc>
          <w:tcPr>
            <w:tcW w:w="2211" w:type="dxa"/>
          </w:tcPr>
          <w:p w14:paraId="7AD834CE">
            <w:pPr>
              <w:spacing w:before="40" w:after="40" w:line="240" w:lineRule="auto"/>
            </w:pPr>
            <w:r>
              <w:rPr>
                <w:rFonts w:ascii="Times New Roman" w:hAnsi="Times New Roman" w:eastAsia="SimSun"/>
                <w:b w:val="0"/>
                <w:color w:val="000000"/>
                <w:sz w:val="20"/>
              </w:rPr>
              <w:t>发明专利密度、研发效率、迭代周期、新产品收入占比</w:t>
            </w:r>
          </w:p>
        </w:tc>
        <w:tc>
          <w:tcPr>
            <w:tcW w:w="2211" w:type="dxa"/>
          </w:tcPr>
          <w:p w14:paraId="515FA22A">
            <w:pPr>
              <w:spacing w:before="40" w:after="40" w:line="240" w:lineRule="auto"/>
            </w:pPr>
            <w:r>
              <w:rPr>
                <w:rFonts w:ascii="Times New Roman" w:hAnsi="Times New Roman" w:eastAsia="SimSun"/>
                <w:b w:val="0"/>
                <w:color w:val="000000"/>
                <w:sz w:val="20"/>
              </w:rPr>
              <w:t>统计／iFinD</w:t>
            </w:r>
          </w:p>
        </w:tc>
      </w:tr>
      <w:tr w14:paraId="3F78F050">
        <w:trPr>
          <w:jc w:val="center"/>
        </w:trPr>
        <w:tc>
          <w:tcPr>
            <w:tcW w:w="2211" w:type="dxa"/>
          </w:tcPr>
          <w:p w14:paraId="0DD2CAE5">
            <w:pPr>
              <w:spacing w:before="40" w:after="40" w:line="240" w:lineRule="auto"/>
              <w:jc w:val="center"/>
            </w:pPr>
            <w:r>
              <w:rPr>
                <w:rFonts w:ascii="Times New Roman" w:hAnsi="Times New Roman" w:eastAsia="SimSun"/>
                <w:b w:val="0"/>
                <w:color w:val="000000"/>
                <w:sz w:val="20"/>
              </w:rPr>
              <w:t>发展绩效</w:t>
            </w:r>
          </w:p>
        </w:tc>
        <w:tc>
          <w:tcPr>
            <w:tcW w:w="2211" w:type="dxa"/>
          </w:tcPr>
          <w:p w14:paraId="53866C94">
            <w:pPr>
              <w:spacing w:before="40" w:after="40" w:line="240" w:lineRule="auto"/>
            </w:pPr>
            <w:r>
              <w:rPr>
                <w:rFonts w:ascii="Times New Roman" w:hAnsi="Times New Roman" w:eastAsia="SimSun"/>
                <w:b w:val="0"/>
                <w:color w:val="000000"/>
                <w:sz w:val="20"/>
              </w:rPr>
              <w:t>生产绩效</w:t>
            </w:r>
          </w:p>
        </w:tc>
        <w:tc>
          <w:tcPr>
            <w:tcW w:w="2211" w:type="dxa"/>
          </w:tcPr>
          <w:p w14:paraId="57EA962A">
            <w:pPr>
              <w:spacing w:before="40" w:after="40" w:line="240" w:lineRule="auto"/>
            </w:pPr>
            <w:r>
              <w:rPr>
                <w:rFonts w:ascii="Times New Roman" w:hAnsi="Times New Roman" w:eastAsia="SimSun"/>
                <w:b w:val="0"/>
                <w:color w:val="000000"/>
                <w:sz w:val="20"/>
              </w:rPr>
              <w:t>劳动生产率、亩均增加值、不良率、交付周期</w:t>
            </w:r>
          </w:p>
        </w:tc>
        <w:tc>
          <w:tcPr>
            <w:tcW w:w="2211" w:type="dxa"/>
          </w:tcPr>
          <w:p w14:paraId="4C0B54AE">
            <w:pPr>
              <w:spacing w:before="40" w:after="40" w:line="240" w:lineRule="auto"/>
            </w:pPr>
            <w:r>
              <w:rPr>
                <w:rFonts w:ascii="Times New Roman" w:hAnsi="Times New Roman" w:eastAsia="SimSun"/>
                <w:b w:val="0"/>
                <w:color w:val="000000"/>
                <w:sz w:val="20"/>
              </w:rPr>
              <w:t>统计／案例</w:t>
            </w:r>
          </w:p>
        </w:tc>
      </w:tr>
      <w:tr w14:paraId="5E7A27E8">
        <w:trPr>
          <w:jc w:val="center"/>
        </w:trPr>
        <w:tc>
          <w:tcPr>
            <w:tcW w:w="2211" w:type="dxa"/>
          </w:tcPr>
          <w:p w14:paraId="73F3C23B">
            <w:pPr>
              <w:spacing w:before="40" w:after="40" w:line="240" w:lineRule="auto"/>
              <w:jc w:val="center"/>
            </w:pPr>
            <w:r>
              <w:rPr>
                <w:rFonts w:ascii="Times New Roman" w:hAnsi="Times New Roman" w:eastAsia="SimSun"/>
                <w:b w:val="0"/>
                <w:color w:val="000000"/>
                <w:sz w:val="20"/>
              </w:rPr>
              <w:t>发展绩效</w:t>
            </w:r>
          </w:p>
        </w:tc>
        <w:tc>
          <w:tcPr>
            <w:tcW w:w="2211" w:type="dxa"/>
          </w:tcPr>
          <w:p w14:paraId="1F258E61">
            <w:pPr>
              <w:spacing w:before="40" w:after="40" w:line="240" w:lineRule="auto"/>
            </w:pPr>
            <w:r>
              <w:rPr>
                <w:rFonts w:ascii="Times New Roman" w:hAnsi="Times New Roman" w:eastAsia="SimSun"/>
                <w:b w:val="0"/>
                <w:color w:val="000000"/>
                <w:sz w:val="20"/>
              </w:rPr>
              <w:t>韧性绿色</w:t>
            </w:r>
          </w:p>
        </w:tc>
        <w:tc>
          <w:tcPr>
            <w:tcW w:w="2211" w:type="dxa"/>
          </w:tcPr>
          <w:p w14:paraId="6A4CFDE1">
            <w:pPr>
              <w:spacing w:before="40" w:after="40" w:line="240" w:lineRule="auto"/>
            </w:pPr>
            <w:r>
              <w:rPr>
                <w:rFonts w:ascii="Times New Roman" w:hAnsi="Times New Roman" w:eastAsia="SimSun"/>
                <w:b w:val="0"/>
                <w:color w:val="000000"/>
                <w:sz w:val="20"/>
              </w:rPr>
              <w:t>供应链响应时间、履约率、单位增加值能耗</w:t>
            </w:r>
          </w:p>
        </w:tc>
        <w:tc>
          <w:tcPr>
            <w:tcW w:w="2211" w:type="dxa"/>
          </w:tcPr>
          <w:p w14:paraId="65DB5630">
            <w:pPr>
              <w:spacing w:before="40" w:after="40" w:line="240" w:lineRule="auto"/>
            </w:pPr>
            <w:r>
              <w:rPr>
                <w:rFonts w:ascii="Times New Roman" w:hAnsi="Times New Roman" w:eastAsia="SimSun"/>
                <w:b w:val="0"/>
                <w:color w:val="000000"/>
                <w:sz w:val="20"/>
              </w:rPr>
              <w:t>问卷／能耗平台</w:t>
            </w:r>
          </w:p>
        </w:tc>
      </w:tr>
      <w:tr w14:paraId="63B72D8B">
        <w:trPr>
          <w:jc w:val="center"/>
        </w:trPr>
        <w:tc>
          <w:tcPr>
            <w:tcW w:w="2211" w:type="dxa"/>
          </w:tcPr>
          <w:p w14:paraId="4AB12BC8">
            <w:pPr>
              <w:spacing w:before="40" w:after="40" w:line="240" w:lineRule="auto"/>
              <w:jc w:val="center"/>
            </w:pPr>
            <w:r>
              <w:rPr>
                <w:rFonts w:ascii="Times New Roman" w:hAnsi="Times New Roman" w:eastAsia="SimSun"/>
                <w:b w:val="0"/>
                <w:color w:val="000000"/>
                <w:sz w:val="20"/>
              </w:rPr>
              <w:t>发展绩效</w:t>
            </w:r>
          </w:p>
        </w:tc>
        <w:tc>
          <w:tcPr>
            <w:tcW w:w="2211" w:type="dxa"/>
          </w:tcPr>
          <w:p w14:paraId="6FDA17E6">
            <w:pPr>
              <w:spacing w:before="40" w:after="40" w:line="240" w:lineRule="auto"/>
            </w:pPr>
            <w:r>
              <w:rPr>
                <w:rFonts w:ascii="Times New Roman" w:hAnsi="Times New Roman" w:eastAsia="SimSun"/>
                <w:b w:val="0"/>
                <w:color w:val="000000"/>
                <w:sz w:val="20"/>
              </w:rPr>
              <w:t>市场结构</w:t>
            </w:r>
          </w:p>
        </w:tc>
        <w:tc>
          <w:tcPr>
            <w:tcW w:w="2211" w:type="dxa"/>
          </w:tcPr>
          <w:p w14:paraId="76A5C937">
            <w:pPr>
              <w:spacing w:before="40" w:after="40" w:line="240" w:lineRule="auto"/>
            </w:pPr>
            <w:r>
              <w:rPr>
                <w:rFonts w:ascii="Times New Roman" w:hAnsi="Times New Roman" w:eastAsia="SimSun"/>
                <w:b w:val="0"/>
                <w:color w:val="000000"/>
                <w:sz w:val="20"/>
              </w:rPr>
              <w:t>核心产业占比、高端装备增速、服务型制造收入占比</w:t>
            </w:r>
          </w:p>
        </w:tc>
        <w:tc>
          <w:tcPr>
            <w:tcW w:w="2211" w:type="dxa"/>
          </w:tcPr>
          <w:p w14:paraId="755BAA0A">
            <w:pPr>
              <w:spacing w:before="40" w:after="40" w:line="240" w:lineRule="auto"/>
            </w:pPr>
            <w:r>
              <w:rPr>
                <w:rFonts w:ascii="Times New Roman" w:hAnsi="Times New Roman" w:eastAsia="SimSun"/>
                <w:b w:val="0"/>
                <w:color w:val="000000"/>
                <w:sz w:val="20"/>
              </w:rPr>
              <w:t>统计公报</w:t>
            </w:r>
          </w:p>
        </w:tc>
      </w:tr>
    </w:tbl>
    <w:p w14:paraId="004BA4D6">
      <w:pPr>
        <w:spacing w:before="40" w:after="160"/>
      </w:pPr>
      <w:r>
        <w:rPr>
          <w:rFonts w:ascii="Times New Roman" w:hAnsi="Times New Roman" w:eastAsia="SimSun"/>
          <w:b w:val="0"/>
          <w:color w:val="000000"/>
          <w:sz w:val="18"/>
        </w:rPr>
        <w:t>资料来源：课题组设计，口径参考两化融合评估规范和浙江省数字化梯度培育标准。</w:t>
      </w:r>
    </w:p>
    <w:p w14:paraId="5B10E221">
      <w:pPr>
        <w:spacing w:line="360" w:lineRule="auto"/>
        <w:ind w:firstLine="480" w:firstLineChars="200"/>
      </w:pPr>
      <w:r>
        <w:rPr>
          <w:rFonts w:ascii="Times New Roman" w:hAnsi="Times New Roman" w:eastAsia="SimSun"/>
          <w:b w:val="0"/>
          <w:color w:val="000000"/>
          <w:sz w:val="24"/>
        </w:rPr>
        <w:t>用公开数据作初步评价：积极面，2025年高端装备、战略性新兴、高新技术产业增加值分别增长17.0%、11.7%、7.5%，显著高于规模以上工业5.2%的增速，结构升级正在发生；核心产业占比两年间由12.8%升至14.3%，全员劳动生产率由43.12万元/人升至44.73万元/人，发明专利授权由4058件增至5378件，“绩效曲线”总体向上。短板面，核心产业占比与全市29.5%差距较大，核心制造业增加值增速由2024年8.4%回落至2025年5.4%，数字技术应用业、数据要素驱动业等“软环节”缺乏区级统计，反映数字产业结构不优、融合统计监测不健全。</w:t>
      </w:r>
    </w:p>
    <w:p w14:paraId="626A096B">
      <w:pPr>
        <w:pStyle w:val="3"/>
      </w:pPr>
      <w:r>
        <w:t>（二）六类主要堵点</w:t>
      </w:r>
    </w:p>
    <w:p w14:paraId="326E1C9E">
      <w:pPr>
        <w:spacing w:line="360" w:lineRule="auto"/>
        <w:ind w:firstLine="480" w:firstLineChars="200"/>
      </w:pPr>
      <w:r>
        <w:rPr>
          <w:rFonts w:ascii="Times New Roman" w:hAnsi="Times New Roman" w:eastAsia="SimSun"/>
          <w:b w:val="0"/>
          <w:color w:val="000000"/>
          <w:sz w:val="24"/>
        </w:rPr>
        <w:t>1.数据堵点：数据分散、标准不一、流通缺规则，企业数据沉淀于互不连通的系统，公共数据开放场景不足，安全顾虑抑制共享，“有数据、用不起、流不动”并存。2.平台堵点：IC等领域缺EDA云、流片、可靠性验证、测试公共平台，中试检测资源分散，部分工业互联网平台“建而少用、用而不深”。3.能力堵点：中小企业“不会转”（缺战略和人才、看不清路径）、“不敢转”（回收期长、怕影响生产）、“不能转”（利润薄、融资难），iFinD显示部分大企业研发强度尚不足4%，未上市配套企业基础更弱。4.协同堵点：链主开放接口激励不足，配套水平参差导致“链上掉队”，芯片与整车电子等本地优势环节缺少场景化联合开发。5.要素堵点：高端复合型、数字化技能人才缺口突出，早期硬科技长周期项目耐心资本不足，知识产权质押应用不充分，空间和能源保障承压。6.治理堵点：四级政策分散在多部门、申报成本高，扶持偏重设备软件而轻数据治理、流程再造和场景验证，缺少基于企业真实获得感的后评估和迭代闭环。</w:t>
      </w:r>
    </w:p>
    <w:p w14:paraId="15DA5D43">
      <w:pPr>
        <w:pStyle w:val="3"/>
      </w:pPr>
      <w:r>
        <w:t>（三）异质性决定政策必须分层</w:t>
      </w:r>
    </w:p>
    <w:p w14:paraId="15306A66">
      <w:pPr>
        <w:spacing w:line="360" w:lineRule="auto"/>
        <w:ind w:firstLine="480" w:firstLineChars="200"/>
      </w:pPr>
      <w:r>
        <w:rPr>
          <w:rFonts w:ascii="Times New Roman" w:hAnsi="Times New Roman" w:eastAsia="SimSun"/>
          <w:b w:val="0"/>
          <w:color w:val="000000"/>
          <w:sz w:val="24"/>
        </w:rPr>
        <w:t>堵点在主体间分布不均。产业异质性上，生命健康重在合规数据利用和研发数字化，集成电路重在公共平台和设计能力，新能源汽车及零部件重在供应链协同，智能物联重在产品化和服务化；规模异质性上，链主和上市企业具备自主转型能力，重在支持其输出平台标准、承担链主责任，中小企业重在轻量化工具、共享服务和成本补贴；链位异质性上，研发品牌环节重在数据算法赋能，加工环节重在设备联网、质量控制和精益管理。政策结论是从普惠补贴转向“场景包＋能力包＋服务包”分层支持。</w:t>
      </w:r>
    </w:p>
    <w:p w14:paraId="4B85E364">
      <w:pPr>
        <w:spacing w:line="360" w:lineRule="auto"/>
        <w:ind w:firstLine="480" w:firstLineChars="200"/>
      </w:pPr>
      <w:r>
        <w:rPr>
          <w:rFonts w:ascii="Times New Roman" w:hAnsi="Times New Roman" w:eastAsia="SimSun"/>
          <w:b w:val="0"/>
          <w:color w:val="000000"/>
          <w:sz w:val="24"/>
        </w:rPr>
        <w:t>上述堵点目前主要依据公开统计、产业调研和上市公司样本，属“案头诊断”。</w:t>
      </w:r>
      <w:r>
        <w:rPr>
          <w:rFonts w:ascii="Times New Roman" w:hAnsi="Times New Roman" w:eastAsia="SimSun"/>
          <w:b w:val="0"/>
          <w:color w:val="FF0000"/>
          <w:sz w:val="24"/>
        </w:rPr>
        <w:t>待补充采集：需通过问卷访谈对六类堵点作重要性排序和发生率测算，形成分规模、分产业、分链位交叉分析，并补充与滨江区、宁波北仑等地的对标数据，明确相对位置和追赶优先级。</w:t>
      </w:r>
    </w:p>
    <w:p w14:paraId="38288D00">
      <w:pPr>
        <w:pStyle w:val="2"/>
      </w:pPr>
      <w:r>
        <w:t>七、国内外融合创新的经验借鉴</w:t>
      </w:r>
    </w:p>
    <w:p w14:paraId="279B363F">
      <w:pPr>
        <w:pStyle w:val="3"/>
      </w:pPr>
      <w:r>
        <w:t>（一）德国工业4.0：标准先行、中小企业支援与能力中心网络</w:t>
      </w:r>
    </w:p>
    <w:p w14:paraId="487F8C5A">
      <w:pPr>
        <w:spacing w:line="360" w:lineRule="auto"/>
        <w:ind w:firstLine="480" w:firstLineChars="200"/>
      </w:pPr>
      <w:r>
        <w:rPr>
          <w:rFonts w:ascii="Times New Roman" w:hAnsi="Times New Roman" w:eastAsia="SimSun"/>
          <w:b w:val="0"/>
          <w:color w:val="000000"/>
          <w:sz w:val="24"/>
        </w:rPr>
        <w:t>德国经验集中在三方面：一是标准与平台先行，由行业协会、龙头和研究机构共同制定参考架构、通信标准和数据规范，解决设备和企业间“连不通、话不同”问题；二是高度重视中小企业，通过遍布全国的中小企业4.0能力中心提供免费诊断、示范产线和咨询资助，降低认知门槛和试错成本，避免转型只停留在大企业；三是双元制教育同步嵌入数字技能。启示在于：深化阶段，标准接口、公共能力中心和面向中小企业的低成本诊断培训，比单纯补贴设备更具杠杆作用。</w:t>
      </w:r>
    </w:p>
    <w:p w14:paraId="1163296A">
      <w:pPr>
        <w:pStyle w:val="3"/>
      </w:pPr>
      <w:r>
        <w:t>（二）国内先进地区：平台赋能、链式改造与场景开放</w:t>
      </w:r>
    </w:p>
    <w:p w14:paraId="116F15B0">
      <w:pPr>
        <w:spacing w:line="360" w:lineRule="auto"/>
        <w:ind w:firstLine="480" w:firstLineChars="200"/>
      </w:pPr>
      <w:r>
        <w:rPr>
          <w:rFonts w:ascii="Times New Roman" w:hAnsi="Times New Roman" w:eastAsia="SimSun"/>
          <w:b w:val="0"/>
          <w:color w:val="000000"/>
          <w:sz w:val="24"/>
        </w:rPr>
        <w:t>国内形成三类做法：一是产业大脑和工业互联网平台赋能链式转型，浙江部分行业以产业大脑集成政策兑现、订单共享、产能协同等数十个场景，批量建设数字化车间，实现“一行业一平台、一平台带一群企业”；二是链主带动供应链整体改造，长三角、珠三角汽车电子行业由链主制定供应链数字标准、开放协同平台和质量工具，把配套改造纳入新产品同步工程；三是场景开放培育本地供给，深圳、苏州、合肥定期发布场景清单，以“揭榜挂帅”让本地服务商在真实场景迭代，以首台套、首批次分担首次应用风险。OECD研究同样表明，管理能力短板、技能缺口和回报不确定是中小企业转型主要障碍，外部咨询、模块化工具和同行示范网络是有效干预。</w:t>
      </w:r>
    </w:p>
    <w:p w14:paraId="09E89EB5">
      <w:pPr>
        <w:pStyle w:val="3"/>
      </w:pPr>
      <w:r>
        <w:t>（三）经验启示</w:t>
      </w:r>
    </w:p>
    <w:p w14:paraId="70432A7A">
      <w:pPr>
        <w:spacing w:line="360" w:lineRule="auto"/>
        <w:ind w:firstLine="480" w:firstLineChars="200"/>
      </w:pPr>
      <w:r>
        <w:rPr>
          <w:rFonts w:ascii="Times New Roman" w:hAnsi="Times New Roman" w:eastAsia="SimSun"/>
          <w:b w:val="0"/>
          <w:color w:val="000000"/>
          <w:sz w:val="24"/>
        </w:rPr>
        <w:t>四点启示：融合深化的关键基础设施是标准、平台和公共服务而非单纯硬件；中小企业是政策重心，需要“诊断—咨询—轻量工具—培训”全过程陪伴；链主是产业链协同枢纽，其供应链赋能投入应纳入激励；场景是稀缺创新资源，政府要主动组织开放和供需对接。这些与钱塘制造业大区、链群完整、平台密集的禀赋高度契合，具备直接转化条件。</w:t>
      </w:r>
    </w:p>
    <w:p w14:paraId="205CF9FA">
      <w:pPr>
        <w:pStyle w:val="2"/>
      </w:pPr>
      <w:r>
        <w:t>八、分层分类的融合创新发展路径设计</w:t>
      </w:r>
    </w:p>
    <w:p w14:paraId="1994F411">
      <w:pPr>
        <w:pStyle w:val="3"/>
      </w:pPr>
      <w:r>
        <w:t>（一）链主企业路径：工业数据底座＋研发制造协同＋供应链接口开放</w:t>
      </w:r>
    </w:p>
    <w:p w14:paraId="7AC82CEF">
      <w:pPr>
        <w:spacing w:line="360" w:lineRule="auto"/>
        <w:ind w:firstLine="480" w:firstLineChars="200"/>
      </w:pPr>
      <w:r>
        <w:rPr>
          <w:rFonts w:ascii="Times New Roman" w:hAnsi="Times New Roman" w:eastAsia="SimSun"/>
          <w:b w:val="0"/>
          <w:color w:val="000000"/>
          <w:sz w:val="24"/>
        </w:rPr>
        <w:t>支持中策橡胶、顾家家居、吉利钱塘基地等链主建设企业级工业数据底座，打通研发、生产、经营和服务数据，打造省级未来工厂、国家卓越级智能工厂和市级AI工厂标杆；推动链主向配套开放订单、排产、质量标准和协同接口，输出轻量化工具，建设“供应链协同一张网”；鼓励链主把内部数字化部门、工业算法和验证能力平台化，孵化行业数字化服务商，实现“内部能力外部化、行业服务平台化”，把单个智能工厂升级为整条产业链协同网络。</w:t>
      </w:r>
    </w:p>
    <w:p w14:paraId="1E80BBC5">
      <w:pPr>
        <w:pStyle w:val="3"/>
      </w:pPr>
      <w:r>
        <w:t>（二）中小企业路径：小快轻准工具＋上云用数赋智＋共享服务</w:t>
      </w:r>
    </w:p>
    <w:p w14:paraId="102E4956">
      <w:pPr>
        <w:spacing w:line="360" w:lineRule="auto"/>
        <w:ind w:firstLine="480" w:firstLineChars="200"/>
      </w:pPr>
      <w:r>
        <w:rPr>
          <w:rFonts w:ascii="Times New Roman" w:hAnsi="Times New Roman" w:eastAsia="SimSun"/>
          <w:b w:val="0"/>
          <w:color w:val="000000"/>
          <w:sz w:val="24"/>
        </w:rPr>
        <w:t>面向中小配套推广“小快轻准”订阅制工业软件，优先支持设备联网、质量检测、仓储、能源管理等投资小、见效快场景；用好“数改券”和区级配套，对诊断咨询、上云用云、工业软件和数据治理给予补贴；依托园区和行业平台提供共享制造、检测、中试和算力，降低一次性投入；推行“先诊断、后方案、再改造”陪伴式服务，由公共机构组织免费诊断并形成“一企一策”清单，把转型门槛降到“用得起、看得懂、转得动”。</w:t>
      </w:r>
    </w:p>
    <w:p w14:paraId="72C8D01D">
      <w:pPr>
        <w:pStyle w:val="3"/>
      </w:pPr>
      <w:r>
        <w:t>（三）园区平台路径：算力软件＋数据治理＋检测认证＋人才金融一体化供给</w:t>
      </w:r>
    </w:p>
    <w:p w14:paraId="43DDD3A7">
      <w:pPr>
        <w:spacing w:line="360" w:lineRule="auto"/>
        <w:ind w:firstLine="480" w:firstLineChars="200"/>
      </w:pPr>
      <w:r>
        <w:rPr>
          <w:rFonts w:ascii="Times New Roman" w:hAnsi="Times New Roman" w:eastAsia="SimSun"/>
          <w:b w:val="0"/>
          <w:color w:val="000000"/>
          <w:sz w:val="24"/>
        </w:rPr>
        <w:t>把杭州医药港、和达芯谷等园区打造为融合公共服务枢纽，一体化供给公共算力和工业软件、数据治理咨询、检测认证和中试验证、数字人才培训、科技金融对接；面向生命健康、集成电路建设行业公共技术平台，补齐EDA云、MPW流片、可靠性验证、药品数字化监管短板；依托杭州城市可信数据空间建设行业可信数据空间和高质量工业数据集；创新运营模式，培育“产业数字化运营商”，把园区从“空间提供者”升级为“能力和服务组织者”。</w:t>
      </w:r>
    </w:p>
    <w:p w14:paraId="1029E3EC">
      <w:pPr>
        <w:spacing w:line="360" w:lineRule="auto"/>
        <w:ind w:firstLine="480" w:firstLineChars="200"/>
      </w:pPr>
      <w:r>
        <w:rPr>
          <w:rFonts w:ascii="Times New Roman" w:hAnsi="Times New Roman" w:eastAsia="SimSun"/>
          <w:b w:val="0"/>
          <w:color w:val="000000"/>
          <w:sz w:val="24"/>
        </w:rPr>
        <w:t>三条路径的成效需持续跟踪。</w:t>
      </w:r>
      <w:r>
        <w:rPr>
          <w:rFonts w:ascii="Times New Roman" w:hAnsi="Times New Roman" w:eastAsia="SimSun"/>
          <w:b w:val="0"/>
          <w:color w:val="FF0000"/>
          <w:sz w:val="24"/>
        </w:rPr>
        <w:t>待补充采集：建议按链主（覆盖百亿元以上6家及重点上市企业）、中小企业（行业分层抽样）、园区平台（重点园区全覆盖）建立年度跟踪台账，采集改造投入、场景落地、绩效改善和政策获得感数据，作为路径迭代依据。</w:t>
      </w:r>
    </w:p>
    <w:p w14:paraId="2F095264">
      <w:pPr>
        <w:pStyle w:val="2"/>
      </w:pPr>
      <w:r>
        <w:t>九、对策建议：构建“诊断—实施—评估—迭代”的政策闭环</w:t>
      </w:r>
    </w:p>
    <w:p w14:paraId="7947DC2B">
      <w:pPr>
        <w:pStyle w:val="3"/>
      </w:pPr>
      <w:r>
        <w:t>（一）总体思路与目标衔接</w:t>
      </w:r>
    </w:p>
    <w:p w14:paraId="5EA1F865">
      <w:pPr>
        <w:spacing w:line="360" w:lineRule="auto"/>
        <w:ind w:firstLine="480" w:firstLineChars="200"/>
      </w:pPr>
      <w:r>
        <w:rPr>
          <w:rFonts w:ascii="Times New Roman" w:hAnsi="Times New Roman" w:eastAsia="SimSun"/>
          <w:b w:val="0"/>
          <w:color w:val="000000"/>
          <w:sz w:val="24"/>
        </w:rPr>
        <w:t>以“十五五”规划为牵引，把国家“算力—算法—数据”供给、浙江省集群和数字化改造部署、杭州市“296X”集群和AI工厂梯度，转化为钱塘可组织、可投入、可评估、可迭代的产业行动。建议衔接区产业高质量发展大会“两领先、六突破”目标：到2030年力争规模以上工业增加值达1000亿元、全社会R&amp;D经费占地区生产总值比重突破5%、规模以上工业研发费用占营业收入比重突破4%、规模以上人工智能核心产业营业收入突破700亿元、高新技术产业增加值占规模以上工业比重突破80%，把融合创新作为实现目标的主路径。政策遵循“场景牵引、分层分类、平台支撑、机制闭环”，从选择性补贴转向功能性、机制性制度供给。</w:t>
      </w:r>
    </w:p>
    <w:p w14:paraId="0EBD7577">
      <w:pPr>
        <w:pStyle w:val="3"/>
      </w:pPr>
      <w:r>
        <w:t>（二）六项具体对策</w:t>
      </w:r>
    </w:p>
    <w:p w14:paraId="189C43CC">
      <w:pPr>
        <w:spacing w:line="360" w:lineRule="auto"/>
        <w:ind w:firstLine="480" w:firstLineChars="200"/>
      </w:pPr>
      <w:r>
        <w:rPr>
          <w:rFonts w:ascii="Times New Roman" w:hAnsi="Times New Roman" w:eastAsia="SimSun"/>
          <w:b w:val="0"/>
          <w:color w:val="000000"/>
          <w:sz w:val="24"/>
        </w:rPr>
        <w:t>1.工业数据要素激活工程。制定制造业数据治理指引，把数据治理成熟度纳入梯度工厂认定；依托城市可信数据空间，优先在新能源汽车及零部件、生物医药、集成电路建设行业可信数据空间和高质量工业数据集，开展供应链和监管数据授权运营试点；支持链主建设产业链数据空间，以隐私计算实现“可用不可见”协同；建立流通收益分配和安全责任规则。</w:t>
      </w:r>
    </w:p>
    <w:p w14:paraId="1918F542">
      <w:pPr>
        <w:spacing w:line="360" w:lineRule="auto"/>
        <w:ind w:firstLine="480" w:firstLineChars="200"/>
      </w:pPr>
      <w:r>
        <w:rPr>
          <w:rFonts w:ascii="Times New Roman" w:hAnsi="Times New Roman" w:eastAsia="SimSun"/>
          <w:b w:val="0"/>
          <w:color w:val="000000"/>
          <w:sz w:val="24"/>
        </w:rPr>
        <w:t>2.场景牵引与“AI＋制造”工程。建立区级场景清单和项目库，按九类环节滚动发布“揭榜挂帅”榜单，形成“发布—揭榜—验证—推广”机制；对接市“人工智能＋制造”行动，围绕四大产业引育工业垂类大模型、智能体和工业APP，争取省级应用场景和标杆落地；落实首台（套）、首批次、首版次支持，鼓励本地首用；把未来工厂、卓越级智能工厂打造为可复制的“场景样板间”。</w:t>
      </w:r>
    </w:p>
    <w:p w14:paraId="776B208B">
      <w:pPr>
        <w:spacing w:line="360" w:lineRule="auto"/>
        <w:ind w:firstLine="480" w:firstLineChars="200"/>
      </w:pPr>
      <w:r>
        <w:rPr>
          <w:rFonts w:ascii="Times New Roman" w:hAnsi="Times New Roman" w:eastAsia="SimSun"/>
          <w:b w:val="0"/>
          <w:color w:val="000000"/>
          <w:sz w:val="24"/>
        </w:rPr>
        <w:t>3.企业数字化能力提升工程。建立规模以上企业免费数字化诊断制度，输出“一企一策”能力清单，推动数字化水平1.0向2.0、3.0进阶；放大数改券范围至诊断、上云、软件、数据治理和培训；实施“数字工匠＋复合型工程师”计划，联动区内高校开展订单班、现场工程师培养和管理者数字素养培训；支持企业设立首席数据官，把流程再造和商业模式创新纳入扶持。</w:t>
      </w:r>
    </w:p>
    <w:p w14:paraId="46AA2777">
      <w:pPr>
        <w:spacing w:line="360" w:lineRule="auto"/>
        <w:ind w:firstLine="480" w:firstLineChars="200"/>
      </w:pPr>
      <w:r>
        <w:rPr>
          <w:rFonts w:ascii="Times New Roman" w:hAnsi="Times New Roman" w:eastAsia="SimSun"/>
          <w:b w:val="0"/>
          <w:color w:val="000000"/>
          <w:sz w:val="24"/>
        </w:rPr>
        <w:t>4.链群协同工程。建立“链主带配套”激励，对开放协同平台、带动配套同步改造的投入给予补助和认定；依托链长制分行业建设产业大脑和行业平台，推动产能、检测、仓储、供应链金融共享；推动“芯片—模组—系统”本地协同，围绕智能汽车、工业控制、医疗器械开展定制化芯片和模组联合开发；培育产业数字化服务商生态，形成就近对接的服务市场。</w:t>
      </w:r>
    </w:p>
    <w:p w14:paraId="21F6F685">
      <w:pPr>
        <w:spacing w:line="360" w:lineRule="auto"/>
        <w:ind w:firstLine="480" w:firstLineChars="200"/>
      </w:pPr>
      <w:r>
        <w:rPr>
          <w:rFonts w:ascii="Times New Roman" w:hAnsi="Times New Roman" w:eastAsia="SimSun"/>
          <w:b w:val="0"/>
          <w:color w:val="000000"/>
          <w:sz w:val="24"/>
        </w:rPr>
        <w:t>5.平台与要素保障工程。针对集成电路短板，规划建设覆盖EDA云、MPW流片、先进封装中试、可靠性验证和测试分析的综合公共技术平台；布局公共算力和工业软件服务，保障产业用能、超纯水等要素；构建耐心资本体系，做强生物医药、集成电路产业基金，推广知识产权质押、订单质押、科技保险，支持企业上市融资；提升和达芯谷等专业园区专业化招商运营能力。</w:t>
      </w:r>
    </w:p>
    <w:p w14:paraId="1C3F5078">
      <w:pPr>
        <w:spacing w:line="360" w:lineRule="auto"/>
        <w:ind w:firstLine="480" w:firstLineChars="200"/>
      </w:pPr>
      <w:r>
        <w:rPr>
          <w:rFonts w:ascii="Times New Roman" w:hAnsi="Times New Roman" w:eastAsia="SimSun"/>
          <w:b w:val="0"/>
          <w:color w:val="000000"/>
          <w:sz w:val="24"/>
        </w:rPr>
        <w:t>6.政策集成与闭环治理工程。整合四级政策形成“政策包”和办事指南，推行免申即享、快速兑现；建立融合创新统计监测体系，把核心产业、产业数字化、工业互联网、梯度工厂、场景项目纳入统一台账，补齐数字技术应用业和数据要素驱动业统计短板；每年依据表5开展政策绩效评估，以企业真实获得感和绩效改善调整下年度工具组合；建立经信科技、发改、数据、金融、人社和园区组成的跨部门工作专班，破解政策碎片化。</w:t>
      </w:r>
    </w:p>
    <w:p w14:paraId="6113236E">
      <w:pPr>
        <w:pStyle w:val="3"/>
      </w:pPr>
      <w:r>
        <w:t>（三）政策工具矩阵与近期行动</w:t>
      </w:r>
    </w:p>
    <w:p w14:paraId="0C027B5B">
      <w:pPr>
        <w:spacing w:before="120" w:after="60"/>
        <w:jc w:val="center"/>
      </w:pPr>
      <w:r>
        <w:rPr>
          <w:rFonts w:ascii="Times New Roman" w:hAnsi="Times New Roman" w:eastAsia="SimHei"/>
          <w:b/>
          <w:sz w:val="21"/>
        </w:rPr>
        <w:t>表6  钱塘区融合创新政策工具矩阵</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1"/>
        <w:gridCol w:w="2211"/>
        <w:gridCol w:w="2211"/>
        <w:gridCol w:w="2211"/>
      </w:tblGrid>
      <w:tr w14:paraId="6CDDE50A">
        <w:trPr>
          <w:jc w:val="center"/>
        </w:trPr>
        <w:tc>
          <w:tcPr>
            <w:tcW w:w="2211" w:type="dxa"/>
            <w:shd w:val="clear" w:color="auto" w:fill="D9D9D9"/>
          </w:tcPr>
          <w:p w14:paraId="54EFCDB0">
            <w:pPr>
              <w:spacing w:before="40" w:after="40" w:line="240" w:lineRule="auto"/>
              <w:jc w:val="center"/>
            </w:pPr>
            <w:r>
              <w:rPr>
                <w:rFonts w:ascii="Times New Roman" w:hAnsi="Times New Roman" w:eastAsia="SimSun"/>
                <w:b/>
                <w:color w:val="000000"/>
                <w:sz w:val="20"/>
              </w:rPr>
              <w:t>机制类型</w:t>
            </w:r>
          </w:p>
        </w:tc>
        <w:tc>
          <w:tcPr>
            <w:tcW w:w="2211" w:type="dxa"/>
            <w:shd w:val="clear" w:color="auto" w:fill="D9D9D9"/>
          </w:tcPr>
          <w:p w14:paraId="634C28EA">
            <w:pPr>
              <w:spacing w:before="40" w:after="40" w:line="240" w:lineRule="auto"/>
              <w:jc w:val="center"/>
            </w:pPr>
            <w:r>
              <w:rPr>
                <w:rFonts w:ascii="Times New Roman" w:hAnsi="Times New Roman" w:eastAsia="SimSun"/>
                <w:b/>
                <w:color w:val="000000"/>
                <w:sz w:val="20"/>
              </w:rPr>
              <w:t>政策工具</w:t>
            </w:r>
          </w:p>
        </w:tc>
        <w:tc>
          <w:tcPr>
            <w:tcW w:w="2211" w:type="dxa"/>
            <w:shd w:val="clear" w:color="auto" w:fill="D9D9D9"/>
          </w:tcPr>
          <w:p w14:paraId="1954F395">
            <w:pPr>
              <w:spacing w:before="40" w:after="40" w:line="240" w:lineRule="auto"/>
              <w:jc w:val="center"/>
            </w:pPr>
            <w:r>
              <w:rPr>
                <w:rFonts w:ascii="Times New Roman" w:hAnsi="Times New Roman" w:eastAsia="SimSun"/>
                <w:b/>
                <w:color w:val="000000"/>
                <w:sz w:val="20"/>
              </w:rPr>
              <w:t>支持对象</w:t>
            </w:r>
          </w:p>
        </w:tc>
        <w:tc>
          <w:tcPr>
            <w:tcW w:w="2211" w:type="dxa"/>
            <w:shd w:val="clear" w:color="auto" w:fill="D9D9D9"/>
          </w:tcPr>
          <w:p w14:paraId="4ACD8A2C">
            <w:pPr>
              <w:spacing w:before="40" w:after="40" w:line="240" w:lineRule="auto"/>
              <w:jc w:val="center"/>
            </w:pPr>
            <w:r>
              <w:rPr>
                <w:rFonts w:ascii="Times New Roman" w:hAnsi="Times New Roman" w:eastAsia="SimSun"/>
                <w:b/>
                <w:color w:val="000000"/>
                <w:sz w:val="20"/>
              </w:rPr>
              <w:t>评估指标</w:t>
            </w:r>
          </w:p>
        </w:tc>
      </w:tr>
      <w:tr w14:paraId="6C8D7A4D">
        <w:trPr>
          <w:jc w:val="center"/>
        </w:trPr>
        <w:tc>
          <w:tcPr>
            <w:tcW w:w="2211" w:type="dxa"/>
          </w:tcPr>
          <w:p w14:paraId="55899ACE">
            <w:pPr>
              <w:spacing w:before="40" w:after="40" w:line="240" w:lineRule="auto"/>
              <w:jc w:val="center"/>
            </w:pPr>
            <w:r>
              <w:rPr>
                <w:rFonts w:ascii="Times New Roman" w:hAnsi="Times New Roman" w:eastAsia="SimSun"/>
                <w:b w:val="0"/>
                <w:color w:val="000000"/>
                <w:sz w:val="20"/>
              </w:rPr>
              <w:t>数据要素激活</w:t>
            </w:r>
          </w:p>
        </w:tc>
        <w:tc>
          <w:tcPr>
            <w:tcW w:w="2211" w:type="dxa"/>
          </w:tcPr>
          <w:p w14:paraId="3B2E2946">
            <w:pPr>
              <w:spacing w:before="40" w:after="40" w:line="240" w:lineRule="auto"/>
            </w:pPr>
            <w:r>
              <w:rPr>
                <w:rFonts w:ascii="Times New Roman" w:hAnsi="Times New Roman" w:eastAsia="SimSun"/>
                <w:b w:val="0"/>
                <w:color w:val="000000"/>
                <w:sz w:val="20"/>
              </w:rPr>
              <w:t>数据治理补助、行业可信数据空间、授权运营试点</w:t>
            </w:r>
          </w:p>
        </w:tc>
        <w:tc>
          <w:tcPr>
            <w:tcW w:w="2211" w:type="dxa"/>
          </w:tcPr>
          <w:p w14:paraId="2C4D0B3F">
            <w:pPr>
              <w:spacing w:before="40" w:after="40" w:line="240" w:lineRule="auto"/>
            </w:pPr>
            <w:r>
              <w:rPr>
                <w:rFonts w:ascii="Times New Roman" w:hAnsi="Times New Roman" w:eastAsia="SimSun"/>
                <w:b w:val="0"/>
                <w:color w:val="000000"/>
                <w:sz w:val="20"/>
              </w:rPr>
              <w:t>链主、行业平台</w:t>
            </w:r>
          </w:p>
        </w:tc>
        <w:tc>
          <w:tcPr>
            <w:tcW w:w="2211" w:type="dxa"/>
          </w:tcPr>
          <w:p w14:paraId="34ECF661">
            <w:pPr>
              <w:spacing w:before="40" w:after="40" w:line="240" w:lineRule="auto"/>
            </w:pPr>
            <w:r>
              <w:rPr>
                <w:rFonts w:ascii="Times New Roman" w:hAnsi="Times New Roman" w:eastAsia="SimSun"/>
                <w:b w:val="0"/>
                <w:color w:val="000000"/>
                <w:sz w:val="20"/>
              </w:rPr>
              <w:t>治理成熟度、数据产品数、流通场景数</w:t>
            </w:r>
          </w:p>
        </w:tc>
      </w:tr>
      <w:tr w14:paraId="1C5A8C3A">
        <w:trPr>
          <w:jc w:val="center"/>
        </w:trPr>
        <w:tc>
          <w:tcPr>
            <w:tcW w:w="2211" w:type="dxa"/>
          </w:tcPr>
          <w:p w14:paraId="1F78BD5B">
            <w:pPr>
              <w:spacing w:before="40" w:after="40" w:line="240" w:lineRule="auto"/>
              <w:jc w:val="center"/>
            </w:pPr>
            <w:r>
              <w:rPr>
                <w:rFonts w:ascii="Times New Roman" w:hAnsi="Times New Roman" w:eastAsia="SimSun"/>
                <w:b w:val="0"/>
                <w:color w:val="000000"/>
                <w:sz w:val="20"/>
              </w:rPr>
              <w:t>场景牵引</w:t>
            </w:r>
          </w:p>
        </w:tc>
        <w:tc>
          <w:tcPr>
            <w:tcW w:w="2211" w:type="dxa"/>
          </w:tcPr>
          <w:p w14:paraId="3F91769C">
            <w:pPr>
              <w:spacing w:before="40" w:after="40" w:line="240" w:lineRule="auto"/>
            </w:pPr>
            <w:r>
              <w:rPr>
                <w:rFonts w:ascii="Times New Roman" w:hAnsi="Times New Roman" w:eastAsia="SimSun"/>
                <w:b w:val="0"/>
                <w:color w:val="000000"/>
                <w:sz w:val="20"/>
              </w:rPr>
              <w:t>场景清单、揭榜挂帅、首台套、AI工厂奖励</w:t>
            </w:r>
          </w:p>
        </w:tc>
        <w:tc>
          <w:tcPr>
            <w:tcW w:w="2211" w:type="dxa"/>
          </w:tcPr>
          <w:p w14:paraId="420B17D1">
            <w:pPr>
              <w:spacing w:before="40" w:after="40" w:line="240" w:lineRule="auto"/>
            </w:pPr>
            <w:r>
              <w:rPr>
                <w:rFonts w:ascii="Times New Roman" w:hAnsi="Times New Roman" w:eastAsia="SimSun"/>
                <w:b w:val="0"/>
                <w:color w:val="000000"/>
                <w:sz w:val="20"/>
              </w:rPr>
              <w:t>全梯队、服务商</w:t>
            </w:r>
          </w:p>
        </w:tc>
        <w:tc>
          <w:tcPr>
            <w:tcW w:w="2211" w:type="dxa"/>
          </w:tcPr>
          <w:p w14:paraId="63941EE4">
            <w:pPr>
              <w:spacing w:before="40" w:after="40" w:line="240" w:lineRule="auto"/>
            </w:pPr>
            <w:r>
              <w:rPr>
                <w:rFonts w:ascii="Times New Roman" w:hAnsi="Times New Roman" w:eastAsia="SimSun"/>
                <w:b w:val="0"/>
                <w:color w:val="000000"/>
                <w:sz w:val="20"/>
              </w:rPr>
              <w:t>场景落地数、标杆数、复制数</w:t>
            </w:r>
          </w:p>
        </w:tc>
      </w:tr>
      <w:tr w14:paraId="736D6A6D">
        <w:trPr>
          <w:jc w:val="center"/>
        </w:trPr>
        <w:tc>
          <w:tcPr>
            <w:tcW w:w="2211" w:type="dxa"/>
          </w:tcPr>
          <w:p w14:paraId="342D977A">
            <w:pPr>
              <w:spacing w:before="40" w:after="40" w:line="240" w:lineRule="auto"/>
              <w:jc w:val="center"/>
            </w:pPr>
            <w:r>
              <w:rPr>
                <w:rFonts w:ascii="Times New Roman" w:hAnsi="Times New Roman" w:eastAsia="SimSun"/>
                <w:b w:val="0"/>
                <w:color w:val="000000"/>
                <w:sz w:val="20"/>
              </w:rPr>
              <w:t>能力重构</w:t>
            </w:r>
          </w:p>
        </w:tc>
        <w:tc>
          <w:tcPr>
            <w:tcW w:w="2211" w:type="dxa"/>
          </w:tcPr>
          <w:p w14:paraId="349B6A41">
            <w:pPr>
              <w:spacing w:before="40" w:after="40" w:line="240" w:lineRule="auto"/>
            </w:pPr>
            <w:r>
              <w:rPr>
                <w:rFonts w:ascii="Times New Roman" w:hAnsi="Times New Roman" w:eastAsia="SimSun"/>
                <w:b w:val="0"/>
                <w:color w:val="000000"/>
                <w:sz w:val="20"/>
              </w:rPr>
              <w:t>免费诊断、数改券、上云补贴、人才培训</w:t>
            </w:r>
          </w:p>
        </w:tc>
        <w:tc>
          <w:tcPr>
            <w:tcW w:w="2211" w:type="dxa"/>
          </w:tcPr>
          <w:p w14:paraId="158D88A3">
            <w:pPr>
              <w:spacing w:before="40" w:after="40" w:line="240" w:lineRule="auto"/>
            </w:pPr>
            <w:r>
              <w:rPr>
                <w:rFonts w:ascii="Times New Roman" w:hAnsi="Times New Roman" w:eastAsia="SimSun"/>
                <w:b w:val="0"/>
                <w:color w:val="000000"/>
                <w:sz w:val="20"/>
              </w:rPr>
              <w:t>中小企业为重点</w:t>
            </w:r>
          </w:p>
        </w:tc>
        <w:tc>
          <w:tcPr>
            <w:tcW w:w="2211" w:type="dxa"/>
          </w:tcPr>
          <w:p w14:paraId="6538A902">
            <w:pPr>
              <w:spacing w:before="40" w:after="40" w:line="240" w:lineRule="auto"/>
            </w:pPr>
            <w:r>
              <w:rPr>
                <w:rFonts w:ascii="Times New Roman" w:hAnsi="Times New Roman" w:eastAsia="SimSun"/>
                <w:b w:val="0"/>
                <w:color w:val="000000"/>
                <w:sz w:val="20"/>
              </w:rPr>
              <w:t>数字化层级、培训人次、工具普及率</w:t>
            </w:r>
          </w:p>
        </w:tc>
      </w:tr>
      <w:tr w14:paraId="438C3097">
        <w:trPr>
          <w:jc w:val="center"/>
        </w:trPr>
        <w:tc>
          <w:tcPr>
            <w:tcW w:w="2211" w:type="dxa"/>
          </w:tcPr>
          <w:p w14:paraId="7BE7057A">
            <w:pPr>
              <w:spacing w:before="40" w:after="40" w:line="240" w:lineRule="auto"/>
              <w:jc w:val="center"/>
            </w:pPr>
            <w:r>
              <w:rPr>
                <w:rFonts w:ascii="Times New Roman" w:hAnsi="Times New Roman" w:eastAsia="SimSun"/>
                <w:b w:val="0"/>
                <w:color w:val="000000"/>
                <w:sz w:val="20"/>
              </w:rPr>
              <w:t>链群协同</w:t>
            </w:r>
          </w:p>
        </w:tc>
        <w:tc>
          <w:tcPr>
            <w:tcW w:w="2211" w:type="dxa"/>
          </w:tcPr>
          <w:p w14:paraId="4BEC672D">
            <w:pPr>
              <w:spacing w:before="40" w:after="40" w:line="240" w:lineRule="auto"/>
            </w:pPr>
            <w:r>
              <w:rPr>
                <w:rFonts w:ascii="Times New Roman" w:hAnsi="Times New Roman" w:eastAsia="SimSun"/>
                <w:b w:val="0"/>
                <w:color w:val="000000"/>
                <w:sz w:val="20"/>
              </w:rPr>
              <w:t>链主带配套补助、产业大脑、协同平台</w:t>
            </w:r>
          </w:p>
        </w:tc>
        <w:tc>
          <w:tcPr>
            <w:tcW w:w="2211" w:type="dxa"/>
          </w:tcPr>
          <w:p w14:paraId="7E37B2A7">
            <w:pPr>
              <w:spacing w:before="40" w:after="40" w:line="240" w:lineRule="auto"/>
            </w:pPr>
            <w:r>
              <w:rPr>
                <w:rFonts w:ascii="Times New Roman" w:hAnsi="Times New Roman" w:eastAsia="SimSun"/>
                <w:b w:val="0"/>
                <w:color w:val="000000"/>
                <w:sz w:val="20"/>
              </w:rPr>
              <w:t>链主及配套</w:t>
            </w:r>
          </w:p>
        </w:tc>
        <w:tc>
          <w:tcPr>
            <w:tcW w:w="2211" w:type="dxa"/>
          </w:tcPr>
          <w:p w14:paraId="1E540802">
            <w:pPr>
              <w:spacing w:before="40" w:after="40" w:line="240" w:lineRule="auto"/>
            </w:pPr>
            <w:r>
              <w:rPr>
                <w:rFonts w:ascii="Times New Roman" w:hAnsi="Times New Roman" w:eastAsia="SimSun"/>
                <w:b w:val="0"/>
                <w:color w:val="000000"/>
                <w:sz w:val="20"/>
              </w:rPr>
              <w:t>上链企业数、接口数、同步改造率</w:t>
            </w:r>
          </w:p>
        </w:tc>
      </w:tr>
      <w:tr w14:paraId="0D627DCA">
        <w:trPr>
          <w:jc w:val="center"/>
        </w:trPr>
        <w:tc>
          <w:tcPr>
            <w:tcW w:w="2211" w:type="dxa"/>
          </w:tcPr>
          <w:p w14:paraId="42C0ACC5">
            <w:pPr>
              <w:spacing w:before="40" w:after="40" w:line="240" w:lineRule="auto"/>
              <w:jc w:val="center"/>
            </w:pPr>
            <w:r>
              <w:rPr>
                <w:rFonts w:ascii="Times New Roman" w:hAnsi="Times New Roman" w:eastAsia="SimSun"/>
                <w:b w:val="0"/>
                <w:color w:val="000000"/>
                <w:sz w:val="20"/>
              </w:rPr>
              <w:t>要素保障</w:t>
            </w:r>
          </w:p>
        </w:tc>
        <w:tc>
          <w:tcPr>
            <w:tcW w:w="2211" w:type="dxa"/>
          </w:tcPr>
          <w:p w14:paraId="7EA94C63">
            <w:pPr>
              <w:spacing w:before="40" w:after="40" w:line="240" w:lineRule="auto"/>
            </w:pPr>
            <w:r>
              <w:rPr>
                <w:rFonts w:ascii="Times New Roman" w:hAnsi="Times New Roman" w:eastAsia="SimSun"/>
                <w:b w:val="0"/>
                <w:color w:val="000000"/>
                <w:sz w:val="20"/>
              </w:rPr>
              <w:t>公共技术平台、产业基金、科技信贷</w:t>
            </w:r>
          </w:p>
        </w:tc>
        <w:tc>
          <w:tcPr>
            <w:tcW w:w="2211" w:type="dxa"/>
          </w:tcPr>
          <w:p w14:paraId="76490B7E">
            <w:pPr>
              <w:spacing w:before="40" w:after="40" w:line="240" w:lineRule="auto"/>
            </w:pPr>
            <w:r>
              <w:rPr>
                <w:rFonts w:ascii="Times New Roman" w:hAnsi="Times New Roman" w:eastAsia="SimSun"/>
                <w:b w:val="0"/>
                <w:color w:val="000000"/>
                <w:sz w:val="20"/>
              </w:rPr>
              <w:t>四大产业、园区</w:t>
            </w:r>
          </w:p>
        </w:tc>
        <w:tc>
          <w:tcPr>
            <w:tcW w:w="2211" w:type="dxa"/>
          </w:tcPr>
          <w:p w14:paraId="68D0A2CB">
            <w:pPr>
              <w:spacing w:before="40" w:after="40" w:line="240" w:lineRule="auto"/>
            </w:pPr>
            <w:r>
              <w:rPr>
                <w:rFonts w:ascii="Times New Roman" w:hAnsi="Times New Roman" w:eastAsia="SimSun"/>
                <w:b w:val="0"/>
                <w:color w:val="000000"/>
                <w:sz w:val="20"/>
              </w:rPr>
              <w:t>平台服务量、基金投放、贷款增量</w:t>
            </w:r>
          </w:p>
        </w:tc>
      </w:tr>
      <w:tr w14:paraId="05F13209">
        <w:trPr>
          <w:jc w:val="center"/>
        </w:trPr>
        <w:tc>
          <w:tcPr>
            <w:tcW w:w="2211" w:type="dxa"/>
          </w:tcPr>
          <w:p w14:paraId="2020E636">
            <w:pPr>
              <w:spacing w:before="40" w:after="40" w:line="240" w:lineRule="auto"/>
              <w:jc w:val="center"/>
            </w:pPr>
            <w:r>
              <w:rPr>
                <w:rFonts w:ascii="Times New Roman" w:hAnsi="Times New Roman" w:eastAsia="SimSun"/>
                <w:b w:val="0"/>
                <w:color w:val="000000"/>
                <w:sz w:val="20"/>
              </w:rPr>
              <w:t>闭环治理</w:t>
            </w:r>
          </w:p>
        </w:tc>
        <w:tc>
          <w:tcPr>
            <w:tcW w:w="2211" w:type="dxa"/>
          </w:tcPr>
          <w:p w14:paraId="133CB716">
            <w:pPr>
              <w:spacing w:before="40" w:after="40" w:line="240" w:lineRule="auto"/>
            </w:pPr>
            <w:r>
              <w:rPr>
                <w:rFonts w:ascii="Times New Roman" w:hAnsi="Times New Roman" w:eastAsia="SimSun"/>
                <w:b w:val="0"/>
                <w:color w:val="000000"/>
                <w:sz w:val="20"/>
              </w:rPr>
              <w:t>政策包集成、免申即享、绩效评估迭代</w:t>
            </w:r>
          </w:p>
        </w:tc>
        <w:tc>
          <w:tcPr>
            <w:tcW w:w="2211" w:type="dxa"/>
          </w:tcPr>
          <w:p w14:paraId="406664B2">
            <w:pPr>
              <w:spacing w:before="40" w:after="40" w:line="240" w:lineRule="auto"/>
            </w:pPr>
            <w:r>
              <w:rPr>
                <w:rFonts w:ascii="Times New Roman" w:hAnsi="Times New Roman" w:eastAsia="SimSun"/>
                <w:b w:val="0"/>
                <w:color w:val="000000"/>
                <w:sz w:val="20"/>
              </w:rPr>
              <w:t>全部主体</w:t>
            </w:r>
          </w:p>
        </w:tc>
        <w:tc>
          <w:tcPr>
            <w:tcW w:w="2211" w:type="dxa"/>
          </w:tcPr>
          <w:p w14:paraId="5F1760B2">
            <w:pPr>
              <w:spacing w:before="40" w:after="40" w:line="240" w:lineRule="auto"/>
            </w:pPr>
            <w:r>
              <w:rPr>
                <w:rFonts w:ascii="Times New Roman" w:hAnsi="Times New Roman" w:eastAsia="SimSun"/>
                <w:b w:val="0"/>
                <w:color w:val="000000"/>
                <w:sz w:val="20"/>
              </w:rPr>
              <w:t>兑现周期、满意度、绩效改善</w:t>
            </w:r>
          </w:p>
        </w:tc>
      </w:tr>
    </w:tbl>
    <w:p w14:paraId="3DA14F09">
      <w:pPr>
        <w:spacing w:before="40" w:after="160"/>
      </w:pPr>
      <w:r>
        <w:rPr>
          <w:rFonts w:ascii="Times New Roman" w:hAnsi="Times New Roman" w:eastAsia="SimSun"/>
          <w:b w:val="0"/>
          <w:color w:val="000000"/>
          <w:sz w:val="18"/>
        </w:rPr>
        <w:t>资料来源：课题组依据机制框架和现行政策整理，责任主体建议以区级机构职能设置为准。</w:t>
      </w:r>
    </w:p>
    <w:p w14:paraId="0E0A7399">
      <w:pPr>
        <w:spacing w:line="360" w:lineRule="auto"/>
        <w:ind w:firstLine="480" w:firstLineChars="200"/>
      </w:pPr>
      <w:r>
        <w:rPr>
          <w:rFonts w:ascii="Times New Roman" w:hAnsi="Times New Roman" w:eastAsia="SimSun"/>
          <w:b w:val="0"/>
          <w:color w:val="000000"/>
          <w:sz w:val="24"/>
        </w:rPr>
        <w:t>近期优先推进十项行动：发布首批制造业数字化场景清单并组织揭榜；开展规模以上工业企业免费数字化诊断；升级并扩大数改券；建设新能源汽车及零部件行业可信数据空间试点；挂牌集成电路公共技术平台并引入EDA云和流片测试服务；建设医药港数字化合规与质量追溯示范；开展链主供应链接口开放试点；建立融合创新统计监测台账；组建跨部门工作专班；发布年度融合创新绩效评估报告并据此调整政策，形成“当年见场景、两年成机制、三年成生态”的节奏。</w:t>
      </w:r>
    </w:p>
    <w:p w14:paraId="77FC6A85">
      <w:pPr>
        <w:spacing w:line="360" w:lineRule="auto"/>
        <w:ind w:firstLine="480" w:firstLineChars="200"/>
      </w:pPr>
      <w:r>
        <w:rPr>
          <w:rFonts w:ascii="Times New Roman" w:hAnsi="Times New Roman" w:eastAsia="SimSun"/>
          <w:b w:val="0"/>
          <w:color w:val="000000"/>
          <w:sz w:val="24"/>
        </w:rPr>
        <w:t>政策工具的资金规模和标准需与区级财力和现行政策衔接。</w:t>
      </w:r>
      <w:r>
        <w:rPr>
          <w:rFonts w:ascii="Times New Roman" w:hAnsi="Times New Roman" w:eastAsia="SimSun"/>
          <w:b w:val="0"/>
          <w:color w:val="FF0000"/>
          <w:sz w:val="24"/>
        </w:rPr>
        <w:t>待补充采集：建议向财政、经信科技部门采集近三年技改、数字化转型、AI工厂、专精特新等政策预算、兑现金额和惠及企业数，测算资金需求与撬动倍数，形成可提交决策的测算表；采集现有工业互联网和公共技术平台服务量、运营数据，作为平台整合新建依据。</w:t>
      </w:r>
    </w:p>
    <w:p w14:paraId="5618C65F">
      <w:pPr>
        <w:pStyle w:val="2"/>
      </w:pPr>
      <w:r>
        <w:t>十、结论</w:t>
      </w:r>
    </w:p>
    <w:p w14:paraId="03D5B0D6">
      <w:pPr>
        <w:spacing w:line="360" w:lineRule="auto"/>
        <w:ind w:firstLine="480" w:firstLineChars="200"/>
      </w:pPr>
      <w:r>
        <w:rPr>
          <w:rFonts w:ascii="Times New Roman" w:hAnsi="Times New Roman" w:eastAsia="SimSun"/>
          <w:b w:val="0"/>
          <w:color w:val="000000"/>
          <w:sz w:val="24"/>
        </w:rPr>
        <w:t>数字经济与高端制造业融合创新，本质是以数据为纽带、以场景为入口、以能力重构为内因、以链群协同为放大器、以政策适配为保障的产业组织变革。钱塘拥有厚实制造底座、完整链群、高强度创新投入和梯度智能工厂体系，2025年地区生产总值突破1500亿元、数字经济核心产业增加值214.08亿元，高端装备和战略性新兴产业快速成长，有条件在“十五五”走出制造业大区的数实融合新路。同时，数字产业“偏硬”、公共平台不足、数据流通不畅、中小企业能力不均、政策碎片化等堵点，单靠企业自发或单项补贴难以根本破解。本报告提出的“六环节—五机制”框架、分层分类三条路径和“诊断—实施—评估—迭代”闭环，旨在把战略目标转化为可组织、可投入、可评估、可迭代的区级行动，推动融合从单点改造走向链群协同、从项目扶持走向机制治理，为钱塘高端制造业高端化、智能化、绿色化、融合化提供支撑，也为同类制造业城区提供可复制样本。</w:t>
      </w:r>
    </w:p>
    <w:p w14:paraId="61C167F3">
      <w:pPr>
        <w:pStyle w:val="2"/>
      </w:pPr>
      <w:r>
        <w:t>参考文献</w:t>
      </w:r>
    </w:p>
    <w:p w14:paraId="4030515B">
      <w:pPr>
        <w:spacing w:line="360" w:lineRule="auto"/>
        <w:ind w:left="420" w:hanging="420"/>
      </w:pPr>
      <w:r>
        <w:rPr>
          <w:rFonts w:ascii="Times New Roman" w:hAnsi="Times New Roman" w:eastAsia="SimSun"/>
          <w:b w:val="0"/>
          <w:color w:val="000000"/>
          <w:sz w:val="21"/>
        </w:rPr>
        <w:t>[1] 国务院.“十四五”数字经济发展规划[Z].2021.</w:t>
      </w:r>
    </w:p>
    <w:p w14:paraId="56A0D5A7">
      <w:pPr>
        <w:spacing w:line="360" w:lineRule="auto"/>
        <w:ind w:left="420" w:hanging="420"/>
      </w:pPr>
      <w:r>
        <w:rPr>
          <w:rFonts w:ascii="Times New Roman" w:hAnsi="Times New Roman" w:eastAsia="SimSun"/>
          <w:b w:val="0"/>
          <w:color w:val="000000"/>
          <w:sz w:val="21"/>
        </w:rPr>
        <w:t>[2] 中共中央,国务院.数字中国建设整体布局规划[Z].2023.</w:t>
      </w:r>
    </w:p>
    <w:p w14:paraId="3BD0B73C">
      <w:pPr>
        <w:spacing w:line="360" w:lineRule="auto"/>
        <w:ind w:left="420" w:hanging="420"/>
      </w:pPr>
      <w:r>
        <w:rPr>
          <w:rFonts w:ascii="Times New Roman" w:hAnsi="Times New Roman" w:eastAsia="SimSun"/>
          <w:b w:val="0"/>
          <w:color w:val="000000"/>
          <w:sz w:val="21"/>
        </w:rPr>
        <w:t>[3] 全国人民代表大会.中华人民共和国国民经济和社会发展第十五个五年规划纲要[Z].2026.</w:t>
      </w:r>
    </w:p>
    <w:p w14:paraId="18F9360C">
      <w:pPr>
        <w:spacing w:line="360" w:lineRule="auto"/>
        <w:ind w:left="420" w:hanging="420"/>
      </w:pPr>
      <w:r>
        <w:rPr>
          <w:rFonts w:ascii="Times New Roman" w:hAnsi="Times New Roman" w:eastAsia="SimSun"/>
          <w:b w:val="0"/>
          <w:color w:val="000000"/>
          <w:sz w:val="21"/>
        </w:rPr>
        <w:t>[4] 工业和信息化部办公厅.智能制造典型场景参考指引（2024年版）[Z].2024.</w:t>
      </w:r>
    </w:p>
    <w:p w14:paraId="38C9AD36">
      <w:pPr>
        <w:spacing w:line="360" w:lineRule="auto"/>
        <w:ind w:left="420" w:hanging="420"/>
      </w:pPr>
      <w:r>
        <w:rPr>
          <w:rFonts w:ascii="Times New Roman" w:hAnsi="Times New Roman" w:eastAsia="SimSun"/>
          <w:b w:val="0"/>
          <w:color w:val="000000"/>
          <w:sz w:val="21"/>
        </w:rPr>
        <w:t>[5] 工业和信息化部,国务院国资委,全国工商联.制造业企业数字化转型实施指南[Z].2024.</w:t>
      </w:r>
    </w:p>
    <w:p w14:paraId="5266565C">
      <w:pPr>
        <w:spacing w:line="360" w:lineRule="auto"/>
        <w:ind w:left="420" w:hanging="420"/>
      </w:pPr>
      <w:r>
        <w:rPr>
          <w:rFonts w:ascii="Times New Roman" w:hAnsi="Times New Roman" w:eastAsia="SimSun"/>
          <w:b w:val="0"/>
          <w:color w:val="000000"/>
          <w:sz w:val="21"/>
        </w:rPr>
        <w:t>[6] 浙江省人民政府.浙江省“415X”先进制造业集群建设行动方案（2023—2027年）[Z].2023.</w:t>
      </w:r>
    </w:p>
    <w:p w14:paraId="7C16665D">
      <w:pPr>
        <w:spacing w:line="360" w:lineRule="auto"/>
        <w:ind w:left="420" w:hanging="420"/>
      </w:pPr>
      <w:r>
        <w:rPr>
          <w:rFonts w:ascii="Times New Roman" w:hAnsi="Times New Roman" w:eastAsia="SimSun"/>
          <w:b w:val="0"/>
          <w:color w:val="000000"/>
          <w:sz w:val="21"/>
        </w:rPr>
        <w:t>[7] 浙江省统计局,国家统计局浙江调查总队.2025年浙江省国民经济和社会发展统计公报[R].2026.</w:t>
      </w:r>
    </w:p>
    <w:p w14:paraId="1D84D405">
      <w:pPr>
        <w:spacing w:line="360" w:lineRule="auto"/>
        <w:ind w:left="420" w:hanging="420"/>
      </w:pPr>
      <w:r>
        <w:rPr>
          <w:rFonts w:ascii="Times New Roman" w:hAnsi="Times New Roman" w:eastAsia="SimSun"/>
          <w:b w:val="0"/>
          <w:color w:val="000000"/>
          <w:sz w:val="21"/>
        </w:rPr>
        <w:t>[8] 杭州市统计局.2025年杭州市国民经济和社会发展统计公报[R].2026.</w:t>
      </w:r>
    </w:p>
    <w:p w14:paraId="4219CCE0">
      <w:pPr>
        <w:spacing w:line="360" w:lineRule="auto"/>
        <w:ind w:left="420" w:hanging="420"/>
      </w:pPr>
      <w:r>
        <w:rPr>
          <w:rFonts w:ascii="Times New Roman" w:hAnsi="Times New Roman" w:eastAsia="SimSun"/>
          <w:b w:val="0"/>
          <w:color w:val="000000"/>
          <w:sz w:val="21"/>
        </w:rPr>
        <w:t>[9] 杭州市人民政府办公厅.杭州市制造业加快发展三年行动计划（2025—2027年）[Z].2025.</w:t>
      </w:r>
    </w:p>
    <w:p w14:paraId="6845C1C2">
      <w:pPr>
        <w:spacing w:line="360" w:lineRule="auto"/>
        <w:ind w:left="420" w:hanging="420"/>
      </w:pPr>
      <w:r>
        <w:rPr>
          <w:rFonts w:ascii="Times New Roman" w:hAnsi="Times New Roman" w:eastAsia="SimSun"/>
          <w:b w:val="0"/>
          <w:color w:val="000000"/>
          <w:sz w:val="21"/>
        </w:rPr>
        <w:t>[10] 杭州市钱塘区统计局.2025年杭州市钱塘区国民经济和社会发展统计公报[R].2026.</w:t>
      </w:r>
    </w:p>
    <w:p w14:paraId="511C21C1">
      <w:pPr>
        <w:spacing w:line="360" w:lineRule="auto"/>
        <w:ind w:left="420" w:hanging="420"/>
      </w:pPr>
      <w:r>
        <w:rPr>
          <w:rFonts w:ascii="Times New Roman" w:hAnsi="Times New Roman" w:eastAsia="SimSun"/>
          <w:b w:val="0"/>
          <w:color w:val="000000"/>
          <w:sz w:val="21"/>
        </w:rPr>
        <w:t>[11] 杭州市钱塘区统计局.2024年杭州市钱塘区国民经济和社会发展统计公报[R].2025.</w:t>
      </w:r>
    </w:p>
    <w:p w14:paraId="1C61781B">
      <w:pPr>
        <w:spacing w:line="360" w:lineRule="auto"/>
        <w:ind w:left="420" w:hanging="420"/>
      </w:pPr>
      <w:r>
        <w:rPr>
          <w:rFonts w:ascii="Times New Roman" w:hAnsi="Times New Roman" w:eastAsia="SimSun"/>
          <w:b w:val="0"/>
          <w:color w:val="000000"/>
          <w:sz w:val="21"/>
        </w:rPr>
        <w:t>[12] 杭州市钱塘区人大常委会预算工委.关于钱塘区集成电路产业发展的调研报告[R].2025.</w:t>
      </w:r>
    </w:p>
    <w:p w14:paraId="24ADAF57">
      <w:pPr>
        <w:spacing w:line="360" w:lineRule="auto"/>
        <w:ind w:left="420" w:hanging="420"/>
      </w:pPr>
      <w:r>
        <w:rPr>
          <w:rFonts w:ascii="Times New Roman" w:hAnsi="Times New Roman" w:eastAsia="SimSun"/>
          <w:b w:val="0"/>
          <w:color w:val="000000"/>
          <w:sz w:val="21"/>
        </w:rPr>
        <w:t>[13] 中国信息通信研究院.中国数字经济发展研究报告（2025年）[R].2026.</w:t>
      </w:r>
    </w:p>
    <w:p w14:paraId="4108247E">
      <w:pPr>
        <w:spacing w:line="360" w:lineRule="auto"/>
        <w:ind w:left="420" w:hanging="420"/>
      </w:pPr>
      <w:r>
        <w:rPr>
          <w:rFonts w:ascii="Times New Roman" w:hAnsi="Times New Roman" w:eastAsia="SimSun"/>
          <w:b w:val="0"/>
          <w:color w:val="000000"/>
          <w:sz w:val="21"/>
        </w:rPr>
        <w:t>[14] 国家统计局.2024年全国数字经济核心产业增加值核算结果[R].2025.</w:t>
      </w:r>
    </w:p>
    <w:p w14:paraId="18BE3B5D">
      <w:pPr>
        <w:spacing w:line="360" w:lineRule="auto"/>
        <w:ind w:left="420" w:hanging="420"/>
      </w:pPr>
      <w:r>
        <w:rPr>
          <w:rFonts w:ascii="Times New Roman" w:hAnsi="Times New Roman" w:eastAsia="SimSun"/>
          <w:b w:val="0"/>
          <w:color w:val="000000"/>
          <w:sz w:val="21"/>
        </w:rPr>
        <w:t>[15] 国家互联网信息办公室.国家信息化发展报告（2025年）[R].2026.</w:t>
      </w:r>
    </w:p>
    <w:p w14:paraId="49DD64AB">
      <w:pPr>
        <w:spacing w:line="360" w:lineRule="auto"/>
        <w:ind w:left="420" w:hanging="420"/>
      </w:pPr>
      <w:r>
        <w:rPr>
          <w:rFonts w:ascii="Times New Roman" w:hAnsi="Times New Roman" w:eastAsia="SimSun"/>
          <w:b w:val="0"/>
          <w:color w:val="000000"/>
          <w:sz w:val="21"/>
        </w:rPr>
        <w:t>[16] Kagermann H, Wahlster W, Helbig J. Recommendations for implementing the strategic initiative INDUSTRIE 4.0[R]. acatech, 2013.</w:t>
      </w:r>
    </w:p>
    <w:p w14:paraId="358A2F98">
      <w:pPr>
        <w:spacing w:line="360" w:lineRule="auto"/>
        <w:ind w:left="420" w:hanging="420"/>
      </w:pPr>
      <w:r>
        <w:rPr>
          <w:rFonts w:ascii="Times New Roman" w:hAnsi="Times New Roman" w:eastAsia="SimSun"/>
          <w:b w:val="0"/>
          <w:color w:val="000000"/>
          <w:sz w:val="21"/>
        </w:rPr>
        <w:t>[17] Vial G. Understanding digital transformation: A review and a research agenda[J]. Journal of Strategic Information Systems, 2019, 28(2):118-144.</w:t>
      </w:r>
    </w:p>
    <w:p w14:paraId="23208B4E">
      <w:pPr>
        <w:spacing w:line="360" w:lineRule="auto"/>
        <w:ind w:left="420" w:hanging="420"/>
      </w:pPr>
      <w:r>
        <w:rPr>
          <w:rFonts w:ascii="Times New Roman" w:hAnsi="Times New Roman" w:eastAsia="SimSun"/>
          <w:b w:val="0"/>
          <w:color w:val="000000"/>
          <w:sz w:val="21"/>
        </w:rPr>
        <w:t>[18] Zhou J, Li P, Zhou Y, et al. Toward new-generation intelligent manufacturing[J]. Engineering, 2018, 4(1):11-20.</w:t>
      </w:r>
    </w:p>
    <w:p w14:paraId="79FE9461">
      <w:pPr>
        <w:spacing w:line="360" w:lineRule="auto"/>
        <w:ind w:left="420" w:hanging="420"/>
      </w:pPr>
      <w:r>
        <w:rPr>
          <w:rFonts w:ascii="Times New Roman" w:hAnsi="Times New Roman" w:eastAsia="SimSun"/>
          <w:b w:val="0"/>
          <w:color w:val="000000"/>
          <w:sz w:val="21"/>
        </w:rPr>
        <w:t>[19] Nambisan S, Lyytinen K, Majchrzak A, et al. Digital innovation management[J]. MIS Quarterly, 2017, 41(1):223-238.</w:t>
      </w:r>
    </w:p>
    <w:p w14:paraId="6F8872D1">
      <w:pPr>
        <w:spacing w:line="360" w:lineRule="auto"/>
        <w:ind w:left="420" w:hanging="420"/>
      </w:pPr>
      <w:r>
        <w:rPr>
          <w:rFonts w:ascii="Times New Roman" w:hAnsi="Times New Roman" w:eastAsia="SimSun"/>
          <w:b w:val="0"/>
          <w:color w:val="000000"/>
          <w:sz w:val="21"/>
        </w:rPr>
        <w:t>[20] Agrawal A, Gans J, Goldfarb A. Prediction Machines: The Simple Economics of Artificial Intelligence[M]. HBR Press, 2018.</w:t>
      </w:r>
    </w:p>
    <w:p w14:paraId="33FA67A4">
      <w:pPr>
        <w:spacing w:line="360" w:lineRule="auto"/>
        <w:ind w:left="420" w:hanging="420"/>
      </w:pPr>
      <w:r>
        <w:rPr>
          <w:rFonts w:ascii="Times New Roman" w:hAnsi="Times New Roman" w:eastAsia="SimSun"/>
          <w:b w:val="0"/>
          <w:color w:val="000000"/>
          <w:sz w:val="21"/>
        </w:rPr>
        <w:t>[21] OECD. The Digital Transformation of SMEs[R]. OECD Publishing, 2021.</w:t>
      </w:r>
    </w:p>
    <w:p w14:paraId="78A830F3">
      <w:pPr>
        <w:spacing w:line="360" w:lineRule="auto"/>
        <w:ind w:left="420" w:hanging="420"/>
      </w:pPr>
      <w:r>
        <w:rPr>
          <w:rFonts w:ascii="Times New Roman" w:hAnsi="Times New Roman" w:eastAsia="SimSun"/>
          <w:b w:val="0"/>
          <w:color w:val="000000"/>
          <w:sz w:val="21"/>
        </w:rPr>
        <w:t>[22] Xie J, Xue C, Zhou J, et al. Digital economy on high-quality manufacturing development[J]. Finance Research Letters, 2025, 85(B):107928.</w:t>
      </w:r>
    </w:p>
    <w:p w14:paraId="0DC8C3F8">
      <w:pPr>
        <w:spacing w:line="360" w:lineRule="auto"/>
        <w:ind w:left="420" w:hanging="420"/>
      </w:pPr>
      <w:r>
        <w:rPr>
          <w:rFonts w:ascii="Times New Roman" w:hAnsi="Times New Roman" w:eastAsia="SimSun"/>
          <w:b w:val="0"/>
          <w:color w:val="000000"/>
          <w:sz w:val="21"/>
        </w:rPr>
        <w:t>[23] 同花顺iFinD金融数据终端.钱塘区A股上市公司年度报告财务数据[DB/OL].2026年9月检索.</w:t>
      </w:r>
    </w:p>
    <w:p w14:paraId="5C9DEC07">
      <w:pPr>
        <w:pStyle w:val="2"/>
      </w:pPr>
      <w:r>
        <w:t>附：需继续采集的数据清单（红色标注项汇总）</w:t>
      </w:r>
    </w:p>
    <w:p w14:paraId="76A9251B">
      <w:pPr>
        <w:spacing w:line="360" w:lineRule="auto"/>
        <w:ind w:firstLine="480" w:firstLineChars="200"/>
      </w:pPr>
      <w:r>
        <w:rPr>
          <w:rFonts w:ascii="Times New Roman" w:hAnsi="Times New Roman" w:eastAsia="SimSun"/>
          <w:b w:val="0"/>
          <w:color w:val="000000"/>
          <w:sz w:val="24"/>
        </w:rPr>
        <w:t>以下数据无法从公开渠道直接取得，已在正文相应位置以红色字体标注，建议通过部门协调、企业调研或iFinD续采补充。</w:t>
      </w:r>
    </w:p>
    <w:p w14:paraId="1A98C67E">
      <w:pPr>
        <w:spacing w:line="360" w:lineRule="auto"/>
        <w:ind w:firstLine="480" w:firstLineChars="200"/>
      </w:pPr>
      <w:r>
        <w:rPr>
          <w:rFonts w:ascii="Times New Roman" w:hAnsi="Times New Roman" w:eastAsia="SimSun"/>
          <w:b w:val="0"/>
          <w:color w:val="FF0000"/>
          <w:sz w:val="24"/>
        </w:rPr>
        <w:t>1.区本级数字经济宽口径（含产业数字化）规模及占地区生产总值比重，建议由统计部门参照浙江省口径测算。</w:t>
      </w:r>
    </w:p>
    <w:p w14:paraId="613BDD8D">
      <w:pPr>
        <w:spacing w:line="360" w:lineRule="auto"/>
        <w:ind w:firstLine="480" w:firstLineChars="200"/>
      </w:pPr>
      <w:r>
        <w:rPr>
          <w:rFonts w:ascii="Times New Roman" w:hAnsi="Times New Roman" w:eastAsia="SimSun"/>
          <w:b w:val="0"/>
          <w:color w:val="FF0000"/>
          <w:sz w:val="24"/>
        </w:rPr>
        <w:t>2.四大重点产业2025年全年分产业产值、增加值及2022—2025年时间序列，拟向区经信科技局采集。</w:t>
      </w:r>
    </w:p>
    <w:p w14:paraId="1F46BD38">
      <w:pPr>
        <w:spacing w:line="360" w:lineRule="auto"/>
        <w:ind w:firstLine="480" w:firstLineChars="200"/>
      </w:pPr>
      <w:r>
        <w:rPr>
          <w:rFonts w:ascii="Times New Roman" w:hAnsi="Times New Roman" w:eastAsia="SimSun"/>
          <w:b w:val="0"/>
          <w:color w:val="FF0000"/>
          <w:sz w:val="24"/>
        </w:rPr>
        <w:t>3.全区23家上市企业完整面板（2022—2025年研发费用、数字化相关无形资产、工业软件采购等），通过iFinD批量续采并核对口径；其中10家代表性上市公司2022—2025年研发费用面板已完成续采，数字化相关无形资产、工业软件采购及全部23家企业口径交叉核对仍需后续续采。</w:t>
      </w:r>
    </w:p>
    <w:p w14:paraId="07913A69">
      <w:pPr>
        <w:spacing w:line="360" w:lineRule="auto"/>
        <w:ind w:firstLine="480" w:firstLineChars="200"/>
      </w:pPr>
      <w:r>
        <w:rPr>
          <w:rFonts w:ascii="Times New Roman" w:hAnsi="Times New Roman" w:eastAsia="SimSun"/>
          <w:b w:val="0"/>
          <w:color w:val="FF0000"/>
          <w:sz w:val="24"/>
        </w:rPr>
        <w:t>4.企业数字化转型问卷与访谈数据：建议不少于150份问卷、15—20家深度访谈，形成场景优先级、堵点排序、回收期、政策获得感一手数据。</w:t>
      </w:r>
    </w:p>
    <w:p w14:paraId="69F7708F">
      <w:pPr>
        <w:spacing w:line="360" w:lineRule="auto"/>
        <w:ind w:firstLine="480" w:firstLineChars="200"/>
      </w:pPr>
      <w:r>
        <w:rPr>
          <w:rFonts w:ascii="Times New Roman" w:hAnsi="Times New Roman" w:eastAsia="SimSun"/>
          <w:b w:val="0"/>
          <w:color w:val="FF0000"/>
          <w:sz w:val="24"/>
        </w:rPr>
        <w:t>5.区级算力规模、工业互联网平台连接设备数、上云企业数、可信数据空间数据产品上架与交易情况。</w:t>
      </w:r>
    </w:p>
    <w:p w14:paraId="25FBA0A1">
      <w:pPr>
        <w:spacing w:line="360" w:lineRule="auto"/>
        <w:ind w:firstLine="480" w:firstLineChars="200"/>
      </w:pPr>
      <w:r>
        <w:rPr>
          <w:rFonts w:ascii="Times New Roman" w:hAnsi="Times New Roman" w:eastAsia="SimSun"/>
          <w:b w:val="0"/>
          <w:color w:val="FF0000"/>
          <w:sz w:val="24"/>
        </w:rPr>
        <w:t>6.规模以上工业企业数字化水平1.0/2.0/3.0分级企业数量、分行业数字化改造覆盖率最新值。</w:t>
      </w:r>
    </w:p>
    <w:p w14:paraId="11102AD1">
      <w:pPr>
        <w:spacing w:line="360" w:lineRule="auto"/>
        <w:ind w:firstLine="480" w:firstLineChars="200"/>
      </w:pPr>
      <w:r>
        <w:rPr>
          <w:rFonts w:ascii="Times New Roman" w:hAnsi="Times New Roman" w:eastAsia="SimSun"/>
          <w:b w:val="0"/>
          <w:color w:val="FF0000"/>
          <w:sz w:val="24"/>
        </w:rPr>
        <w:t>7.未来工厂、卓越级智能工厂等标杆改造前后绩效对比（效率、不良率、交付周期、能耗、研发周期）。</w:t>
      </w:r>
    </w:p>
    <w:p w14:paraId="75446846">
      <w:pPr>
        <w:spacing w:line="360" w:lineRule="auto"/>
        <w:ind w:firstLine="480" w:firstLineChars="200"/>
      </w:pPr>
      <w:r>
        <w:rPr>
          <w:rFonts w:ascii="Times New Roman" w:hAnsi="Times New Roman" w:eastAsia="SimSun"/>
          <w:b w:val="0"/>
          <w:color w:val="FF0000"/>
          <w:sz w:val="24"/>
        </w:rPr>
        <w:t>8.近三年技改、数字化转型、AI工厂、专精特新政策预算、兑现金额和惠及企业数，用于资金测算。</w:t>
      </w:r>
    </w:p>
    <w:p w14:paraId="3B92D4F9">
      <w:pPr>
        <w:spacing w:line="360" w:lineRule="auto"/>
        <w:ind w:firstLine="480" w:firstLineChars="200"/>
      </w:pPr>
      <w:r>
        <w:rPr>
          <w:rFonts w:ascii="Times New Roman" w:hAnsi="Times New Roman" w:eastAsia="SimSun"/>
          <w:b w:val="0"/>
          <w:color w:val="FF0000"/>
          <w:sz w:val="24"/>
        </w:rPr>
        <w:t>9.与滨江区、宁波北仑等先进地区的对标指标，用于明确相对位置和追赶优先级。</w:t>
      </w:r>
    </w:p>
    <w:p w14:paraId="35E2EA23">
      <w:pPr>
        <w:spacing w:line="360" w:lineRule="auto"/>
        <w:ind w:firstLine="480" w:firstLineChars="200"/>
      </w:pPr>
      <w:r>
        <w:rPr>
          <w:rFonts w:ascii="Times New Roman" w:hAnsi="Times New Roman" w:eastAsia="SimSun"/>
          <w:b w:val="0"/>
          <w:color w:val="FF0000"/>
          <w:sz w:val="24"/>
        </w:rPr>
        <w:t>10.2026年上半年及最新月度运行数据，用于定稿时更新时效性。</w:t>
      </w:r>
    </w:p>
    <w:sectPr>
      <w:footerReference r:id="rId5" w:type="default"/>
      <w:pgSz w:w="11906" w:h="16838"/>
      <w:pgMar w:top="1701" w:right="1474" w:bottom="1587"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汉仪书宋二KW"/>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汉仪中黑KW"/>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0000000000000000000"/>
    <w:charset w:val="86"/>
    <w:family w:val="auto"/>
    <w:pitch w:val="default"/>
    <w:sig w:usb0="00000000" w:usb1="00000000" w:usb2="00000000" w:usb3="00000000" w:csb0="00000000"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Symbol">
    <w:altName w:val="Kingsoft Sign"/>
    <w:panose1 w:val="00000000000000000000"/>
    <w:charset w:val="02"/>
    <w:family w:val="auto"/>
    <w:pitch w:val="default"/>
    <w:sig w:usb0="00000000" w:usb1="00000000" w:usb2="00000000" w:usb3="00000000" w:csb0="80000000" w:csb1="00000000"/>
  </w:font>
  <w:font w:name="Courier">
    <w:altName w:val="苹方-简"/>
    <w:panose1 w:val="02000500000000000000"/>
    <w:charset w:val="00"/>
    <w:family w:val="auto"/>
    <w:pitch w:val="default"/>
    <w:sig w:usb0="00000000" w:usb1="00000000" w:usb2="00000000" w:usb3="00000000" w:csb0="00000001" w:csb1="00000000"/>
  </w:font>
  <w:font w:name="楷体">
    <w:altName w:val="汉仪楷体KW"/>
    <w:panose1 w:val="00000000000000000000"/>
    <w:charset w:val="00"/>
    <w:family w:val="auto"/>
    <w:pitch w:val="default"/>
    <w:sig w:usb0="00000000" w:usb1="00000000" w:usb2="00000000" w:usb3="00000000" w:csb0="00000000"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汉仪中黑KW">
    <w:panose1 w:val="00020600040101010101"/>
    <w:charset w:val="86"/>
    <w:family w:val="auto"/>
    <w:pitch w:val="default"/>
    <w:sig w:usb0="A00002BF" w:usb1="18EF7CFA" w:usb2="00000016" w:usb3="00000000" w:csb0="00040000" w:csb1="00000000"/>
  </w:font>
  <w:font w:name="汉仪楷体KW">
    <w:panose1 w:val="00020600040101010101"/>
    <w:charset w:val="86"/>
    <w:family w:val="auto"/>
    <w:pitch w:val="default"/>
    <w:sig w:usb0="A00002BF" w:usb1="18EF7CFA" w:usb2="00000016" w:usb3="00000000" w:csb0="00040000" w:csb1="00000000"/>
  </w:font>
  <w:font w:name="汉仪书宋二KW">
    <w:panose1 w:val="00020600040101010101"/>
    <w:charset w:val="86"/>
    <w:family w:val="auto"/>
    <w:pitch w:val="default"/>
    <w:sig w:usb0="A00002BF" w:usb1="18EF7CFA" w:usb2="00000016" w:usb3="00000000" w:csb0="00040000" w:csb1="00000000"/>
  </w:font>
  <w:font w:name="ＭＳ ゴシック">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汉仪中等线KW">
    <w:panose1 w:val="01010104010101010101"/>
    <w:charset w:val="86"/>
    <w:family w:val="auto"/>
    <w:pitch w:val="default"/>
    <w:sig w:usb0="800002BF" w:usb1="004F7CFA" w:usb2="00000000"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23E68">
    <w:pPr>
      <w:pStyle w:val="18"/>
      <w:jc w:val="center"/>
    </w:pPr>
    <w:r>
      <w:rPr>
        <w:rFonts w:ascii="Times New Roman" w:hAnsi="Times New Roman" w:eastAsia="SimSun"/>
        <w:b w:val="0"/>
        <w:color w:val="000000"/>
        <w:sz w:val="21"/>
      </w:rPr>
      <w:fldChar w:fldCharType="begin"/>
    </w:r>
    <w:r>
      <w:rPr>
        <w:rFonts w:ascii="Times New Roman" w:hAnsi="Times New Roman" w:eastAsia="SimSun"/>
        <w:b w:val="0"/>
        <w:color w:val="000000"/>
        <w:sz w:val="21"/>
      </w:rPr>
      <w:instrText xml:space="preserve"> PAGE </w:instrText>
    </w:r>
    <w:r>
      <w:rPr>
        <w:rFonts w:ascii="Times New Roman" w:hAnsi="Times New Roman" w:eastAsia="SimSun"/>
        <w:b w:val="0"/>
        <w:color w:val="000000"/>
        <w:sz w:val="21"/>
      </w:rPr>
      <w:fldChar w:fldCharType="separate"/>
    </w:r>
    <w:r>
      <w:rPr>
        <w:rFonts w:ascii="Times New Roman" w:hAnsi="Times New Roman" w:eastAsia="SimSun"/>
        <w:b w:val="0"/>
        <w:color w:val="000000"/>
        <w:sz w:val="21"/>
      </w:rPr>
      <w:t>1</w:t>
    </w:r>
    <w:r>
      <w:rPr>
        <w:rFonts w:ascii="Times New Roman" w:hAnsi="Times New Roman" w:eastAsia="SimSun"/>
        <w:b w:val="0"/>
        <w:color w:val="000000"/>
        <w:sz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EBF4DDB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360" w:lineRule="auto"/>
    </w:pPr>
    <w:rPr>
      <w:rFonts w:ascii="Times New Roman" w:hAnsi="Times New Roman" w:eastAsia="SimSun" w:cstheme="minorBidi"/>
      <w:sz w:val="24"/>
      <w:szCs w:val="22"/>
      <w:lang w:val="en-US" w:eastAsia="en-US" w:bidi="ar-SA"/>
    </w:rPr>
  </w:style>
  <w:style w:type="paragraph" w:styleId="2">
    <w:name w:val="heading 1"/>
    <w:basedOn w:val="1"/>
    <w:next w:val="1"/>
    <w:link w:val="138"/>
    <w:qFormat/>
    <w:uiPriority w:val="9"/>
    <w:pPr>
      <w:keepNext/>
      <w:keepLines/>
      <w:spacing w:before="200" w:after="120" w:line="360" w:lineRule="auto"/>
      <w:outlineLvl w:val="0"/>
    </w:pPr>
    <w:rPr>
      <w:rFonts w:asciiTheme="majorHAnsi" w:hAnsiTheme="majorHAnsi" w:eastAsiaTheme="majorEastAsia" w:cstheme="majorBidi"/>
      <w:b/>
      <w:bCs/>
      <w:color w:val="000000"/>
      <w:sz w:val="30"/>
      <w:szCs w:val="28"/>
    </w:rPr>
  </w:style>
  <w:style w:type="paragraph" w:styleId="3">
    <w:name w:val="heading 2"/>
    <w:basedOn w:val="1"/>
    <w:next w:val="1"/>
    <w:link w:val="139"/>
    <w:unhideWhenUsed/>
    <w:qFormat/>
    <w:uiPriority w:val="9"/>
    <w:pPr>
      <w:keepNext/>
      <w:keepLines/>
      <w:spacing w:before="200" w:after="120" w:line="360" w:lineRule="auto"/>
      <w:outlineLvl w:val="1"/>
    </w:pPr>
    <w:rPr>
      <w:rFonts w:asciiTheme="majorHAnsi" w:hAnsiTheme="majorHAnsi" w:eastAsiaTheme="majorEastAsia" w:cstheme="majorBidi"/>
      <w:b/>
      <w:bCs/>
      <w:color w:val="000000"/>
      <w:sz w:val="26"/>
      <w:szCs w:val="26"/>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4"/>
    <w:unhideWhenUsed/>
    <w:uiPriority w:val="99"/>
    <w:pPr>
      <w:spacing w:after="120"/>
    </w:pPr>
  </w:style>
  <w:style w:type="paragraph" w:styleId="14">
    <w:name w:val="Body Text 2"/>
    <w:basedOn w:val="1"/>
    <w:link w:val="145"/>
    <w:unhideWhenUsed/>
    <w:uiPriority w:val="99"/>
    <w:pPr>
      <w:spacing w:after="120" w:line="480" w:lineRule="auto"/>
    </w:pPr>
  </w:style>
  <w:style w:type="paragraph" w:styleId="15">
    <w:name w:val="Body Text 3"/>
    <w:basedOn w:val="1"/>
    <w:link w:val="146"/>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uiPriority w:val="99"/>
    <w:pPr>
      <w:tabs>
        <w:tab w:val="center" w:pos="4680"/>
        <w:tab w:val="right" w:pos="9360"/>
      </w:tabs>
      <w:spacing w:after="0" w:line="240" w:lineRule="auto"/>
    </w:pPr>
  </w:style>
  <w:style w:type="paragraph" w:styleId="19">
    <w:name w:val="header"/>
    <w:basedOn w:val="1"/>
    <w:link w:val="135"/>
    <w:unhideWhenUsed/>
    <w:uiPriority w:val="99"/>
    <w:pPr>
      <w:tabs>
        <w:tab w:val="center" w:pos="4680"/>
        <w:tab w:val="right" w:pos="9360"/>
      </w:tabs>
      <w:spacing w:after="0" w:line="240" w:lineRule="auto"/>
    </w:pPr>
  </w:style>
  <w:style w:type="paragraph" w:styleId="20">
    <w:name w:val="List"/>
    <w:basedOn w:val="1"/>
    <w:unhideWhenUsed/>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uiPriority w:val="99"/>
    <w:pPr>
      <w:ind w:left="1080" w:hanging="360"/>
      <w:contextualSpacing/>
    </w:pPr>
  </w:style>
  <w:style w:type="paragraph" w:styleId="23">
    <w:name w:val="List Bullet"/>
    <w:basedOn w:val="1"/>
    <w:unhideWhenUsed/>
    <w:uiPriority w:val="99"/>
    <w:pPr>
      <w:numPr>
        <w:ilvl w:val="0"/>
        <w:numId w:val="1"/>
      </w:numPr>
      <w:contextualSpacing/>
    </w:pPr>
  </w:style>
  <w:style w:type="paragraph" w:styleId="24">
    <w:name w:val="List Bullet 2"/>
    <w:basedOn w:val="1"/>
    <w:unhideWhenUsed/>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uiPriority w:val="99"/>
  </w:style>
  <w:style w:type="character" w:customStyle="1" w:styleId="136">
    <w:name w:val="Footer Char"/>
    <w:basedOn w:val="11"/>
    <w:link w:val="18"/>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uiPriority w:val="99"/>
  </w:style>
  <w:style w:type="character" w:customStyle="1" w:styleId="145">
    <w:name w:val="Body Text 2 Char"/>
    <w:basedOn w:val="11"/>
    <w:link w:val="14"/>
    <w:uiPriority w:val="99"/>
  </w:style>
  <w:style w:type="character" w:customStyle="1" w:styleId="146">
    <w:name w:val="Body Text 3 Char"/>
    <w:basedOn w:val="11"/>
    <w:link w:val="15"/>
    <w:uiPriority w:val="99"/>
    <w:rPr>
      <w:sz w:val="16"/>
      <w:szCs w:val="16"/>
    </w:rPr>
  </w:style>
  <w:style w:type="character" w:customStyle="1" w:styleId="147">
    <w:name w:val="Macro Text Char"/>
    <w:basedOn w:val="11"/>
    <w:link w:val="3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uiPriority w:val="29"/>
    <w:rPr>
      <w:i/>
      <w:iCs/>
      <w:color w:val="000000" w:themeColor="text1"/>
      <w14:textFill>
        <w14:solidFill>
          <w14:schemeClr w14:val="tx1"/>
        </w14:solidFill>
      </w14:textFill>
    </w:rPr>
  </w:style>
  <w:style w:type="character" w:customStyle="1" w:styleId="150">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0</Words>
  <Characters>0</Characters>
  <Lines>0</Lines>
  <Paragraphs>0</Paragraphs>
  <TotalTime>2</TotalTime>
  <ScaleCrop>false</ScaleCrop>
  <LinksUpToDate>false</LinksUpToDate>
  <CharactersWithSpaces>0</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倪禾</cp:lastModifiedBy>
  <dcterms:modified xsi:type="dcterms:W3CDTF">2026-09-01T11:29:21Z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1033-12.1.26046.26046</vt:lpwstr>
  </property>
  <property fmtid="{D5CDD505-2E9C-101B-9397-08002B2CF9AE}" pid="3" name="ICV">
    <vt:lpwstr>5513C6DC2A1C97149146966AE3831A59_42</vt:lpwstr>
  </property>
</Properties>
</file>