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3CF12">
      <w:pPr>
        <w:keepNext/>
        <w:keepLines/>
        <w:spacing w:before="100" w:beforeAutospacing="1" w:after="100" w:afterAutospacing="1"/>
        <w:jc w:val="center"/>
        <w:outlineLvl w:val="0"/>
        <w:rPr>
          <w:rFonts w:hint="eastAsia"/>
          <w:b/>
          <w:sz w:val="44"/>
        </w:rPr>
      </w:pPr>
      <w:r>
        <w:rPr>
          <w:rFonts w:hint="eastAsia"/>
          <w:b/>
          <w:sz w:val="44"/>
        </w:rPr>
        <w:t>数字经济与高端制造业</w:t>
      </w:r>
    </w:p>
    <w:p w14:paraId="7A8006A1">
      <w:pPr>
        <w:keepNext/>
        <w:keepLines/>
        <w:spacing w:before="100" w:beforeAutospacing="1" w:after="100" w:afterAutospacing="1"/>
        <w:jc w:val="center"/>
        <w:outlineLvl w:val="0"/>
        <w:rPr>
          <w:kern w:val="44"/>
          <w:sz w:val="44"/>
          <w:szCs w:val="44"/>
        </w:rPr>
      </w:pPr>
      <w:r>
        <w:rPr>
          <w:rFonts w:hint="eastAsia"/>
          <w:b/>
          <w:sz w:val="44"/>
        </w:rPr>
        <w:t>融合创新发展机制研究</w:t>
      </w:r>
    </w:p>
    <w:p w14:paraId="23649AD0">
      <w:pPr>
        <w:keepNext/>
        <w:keepLines/>
        <w:spacing w:before="100" w:beforeAutospacing="1" w:after="100" w:afterAutospacing="1"/>
        <w:outlineLvl w:val="0"/>
        <w:rPr>
          <w:kern w:val="44"/>
          <w:sz w:val="44"/>
          <w:szCs w:val="44"/>
        </w:rPr>
      </w:pPr>
      <w:r>
        <w:rPr>
          <w:rFonts w:hint="eastAsia"/>
          <w:b/>
          <w:sz w:val="44"/>
        </w:rPr>
        <w:t>一、课题概况</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1573"/>
        <w:gridCol w:w="6733"/>
      </w:tblGrid>
      <w:tr w14:paraId="26A463AD">
        <w:trPr>
          <w:tblHeader/>
        </w:trPr>
        <w:tc>
          <w:tcPr>
            <w:tcW w:w="1573" w:type="dxa"/>
          </w:tcPr>
          <w:p w14:paraId="1C003C5A">
            <w:pPr>
              <w:rPr>
                <w:b/>
                <w:bCs/>
              </w:rPr>
            </w:pPr>
            <w:r>
              <w:rPr>
                <w:rFonts w:hint="eastAsia"/>
                <w:b/>
              </w:rPr>
              <w:t>项目</w:t>
            </w:r>
          </w:p>
        </w:tc>
        <w:tc>
          <w:tcPr>
            <w:tcW w:w="6733" w:type="dxa"/>
          </w:tcPr>
          <w:p w14:paraId="1525925C">
            <w:pPr>
              <w:rPr>
                <w:b/>
                <w:bCs/>
              </w:rPr>
            </w:pPr>
            <w:r>
              <w:rPr>
                <w:rFonts w:hint="eastAsia"/>
                <w:b/>
              </w:rPr>
              <w:t>内容</w:t>
            </w:r>
          </w:p>
        </w:tc>
      </w:tr>
      <w:tr w14:paraId="1581FE9A">
        <w:tc>
          <w:tcPr>
            <w:tcW w:w="1573" w:type="dxa"/>
          </w:tcPr>
          <w:p w14:paraId="68ADB3EF">
            <w:r>
              <w:rPr>
                <w:rFonts w:hint="eastAsia"/>
              </w:rPr>
              <w:t>课题名称</w:t>
            </w:r>
          </w:p>
        </w:tc>
        <w:tc>
          <w:tcPr>
            <w:tcW w:w="6733" w:type="dxa"/>
          </w:tcPr>
          <w:p w14:paraId="017E5018">
            <w:r>
              <w:rPr>
                <w:rFonts w:hint="eastAsia"/>
              </w:rPr>
              <w:t>数字经济与高端制造业融合创新发展机制研究</w:t>
            </w:r>
          </w:p>
        </w:tc>
      </w:tr>
      <w:tr w14:paraId="7EFBB053">
        <w:tc>
          <w:tcPr>
            <w:tcW w:w="1573" w:type="dxa"/>
          </w:tcPr>
          <w:p w14:paraId="1D326CA2">
            <w:r>
              <w:rPr>
                <w:rFonts w:hint="eastAsia"/>
              </w:rPr>
              <w:t>学科分类</w:t>
            </w:r>
          </w:p>
        </w:tc>
        <w:tc>
          <w:tcPr>
            <w:tcW w:w="6733" w:type="dxa"/>
          </w:tcPr>
          <w:p w14:paraId="52E59EA7">
            <w:r>
              <w:rPr>
                <w:rFonts w:hint="eastAsia"/>
              </w:rPr>
              <w:t>应用经济</w:t>
            </w:r>
          </w:p>
        </w:tc>
      </w:tr>
      <w:tr w14:paraId="0A8876E4">
        <w:tc>
          <w:tcPr>
            <w:tcW w:w="1573" w:type="dxa"/>
          </w:tcPr>
          <w:p w14:paraId="265C8613">
            <w:r>
              <w:rPr>
                <w:rFonts w:hint="eastAsia"/>
              </w:rPr>
              <w:t>成果形式</w:t>
            </w:r>
          </w:p>
        </w:tc>
        <w:tc>
          <w:tcPr>
            <w:tcW w:w="6733" w:type="dxa"/>
          </w:tcPr>
          <w:p w14:paraId="72F729BE">
            <w:r>
              <w:rPr>
                <w:rFonts w:hint="eastAsia"/>
              </w:rPr>
              <w:t>论文 / 调研报告</w:t>
            </w:r>
          </w:p>
        </w:tc>
      </w:tr>
      <w:tr w14:paraId="5B41BF6B">
        <w:tc>
          <w:tcPr>
            <w:tcW w:w="1573" w:type="dxa"/>
          </w:tcPr>
          <w:p w14:paraId="271ED6F9">
            <w:r>
              <w:rPr>
                <w:rFonts w:hint="eastAsia"/>
              </w:rPr>
              <w:t>研究周期</w:t>
            </w:r>
          </w:p>
        </w:tc>
        <w:tc>
          <w:tcPr>
            <w:tcW w:w="6733" w:type="dxa"/>
          </w:tcPr>
          <w:p w14:paraId="7C1EA66E">
            <w:r>
              <w:rPr>
                <w:rFonts w:hint="eastAsia"/>
              </w:rPr>
              <w:t>2026 年 8 月—2026 年 10 月</w:t>
            </w:r>
          </w:p>
        </w:tc>
      </w:tr>
      <w:tr w14:paraId="21C2713A">
        <w:tc>
          <w:tcPr>
            <w:tcW w:w="1573" w:type="dxa"/>
          </w:tcPr>
          <w:p w14:paraId="28006A1F">
            <w:r>
              <w:rPr>
                <w:rFonts w:hint="eastAsia"/>
              </w:rPr>
              <w:t>关键词</w:t>
            </w:r>
          </w:p>
        </w:tc>
        <w:tc>
          <w:tcPr>
            <w:tcW w:w="6733" w:type="dxa"/>
          </w:tcPr>
          <w:p w14:paraId="3AADA5E8">
            <w:r>
              <w:rPr>
                <w:rFonts w:hint="eastAsia"/>
              </w:rPr>
              <w:t>数字经济；高端制造业；数实融合；创新机制；钱塘区</w:t>
            </w:r>
          </w:p>
        </w:tc>
      </w:tr>
    </w:tbl>
    <w:p w14:paraId="3C497F38">
      <w:pPr>
        <w:ind w:firstLine="420" w:firstLineChars="200"/>
      </w:pPr>
      <w:r>
        <w:rPr>
          <w:rFonts w:hint="eastAsia"/>
        </w:rPr>
        <w:t>本提纲是课题组开展调研、撰写报告和结项的总纲，明确研究问题、研究内容、分析框架、调研方案、进度安排与成果去向，作为后续文献梳理、问卷发放、深度访谈、数据分析、报告撰写和成果提交的统一依据。提纲中涉及调研工具的部分，与《钱塘区数字经济与高端制造业融合创新企业数字化转型调查问卷》（含附录 A 深度访谈提纲、附录 B 抽样方案与变量编码说明）配套使用。</w:t>
      </w:r>
    </w:p>
    <w:p w14:paraId="26CB5176">
      <w:pPr>
        <w:keepNext/>
        <w:keepLines/>
        <w:spacing w:before="100" w:beforeAutospacing="1" w:after="100" w:afterAutospacing="1"/>
        <w:outlineLvl w:val="0"/>
        <w:rPr>
          <w:kern w:val="44"/>
          <w:sz w:val="44"/>
          <w:szCs w:val="44"/>
        </w:rPr>
      </w:pPr>
      <w:r>
        <w:rPr>
          <w:rFonts w:hint="eastAsia"/>
          <w:b/>
          <w:sz w:val="44"/>
        </w:rPr>
        <w:t>二、研究背景与问题提出</w:t>
      </w:r>
    </w:p>
    <w:p w14:paraId="1280533A">
      <w:pPr>
        <w:keepNext/>
        <w:keepLines/>
        <w:spacing w:before="100" w:beforeAutospacing="1" w:after="100" w:afterAutospacing="1"/>
        <w:outlineLvl w:val="1"/>
        <w:rPr>
          <w:sz w:val="32"/>
          <w:szCs w:val="32"/>
        </w:rPr>
      </w:pPr>
      <w:r>
        <w:rPr>
          <w:rFonts w:hint="eastAsia"/>
          <w:b/>
          <w:sz w:val="32"/>
        </w:rPr>
        <w:t>（一）政策背景：数实融合从"转型议题"上升为"机制问题"</w:t>
      </w:r>
    </w:p>
    <w:p w14:paraId="1565E785">
      <w:pPr>
        <w:ind w:firstLine="420" w:firstLineChars="200"/>
      </w:pPr>
      <w:r>
        <w:rPr>
          <w:rFonts w:hint="eastAsia"/>
        </w:rPr>
        <w:t>"十五五"时期，数字经济与高端制造业融合创新已从一般性"转型升级"议题上升为规划落地的关键机制问题。《"十四五"数字经济发展规划》将数字经济界定为以数据资源为关键要素、以现代信息网络为主要载体、以全要素数字化转型为重要推动力的新经济形态；《中华人民共和国国民经济和社会发展第十五个五年规划纲要》进一步把政策重点转向"深入推进数字中国建设、提升数智化发展水平"，明确提出强化算力、算法、数据高效供给，促进实体经济和数字经济深度融合，推进制造业"智改数转网联"，一体推进网络、标识、平台、数据、安全体系建设和规模化应用。国家数据局的相关解读指出，数据要素具有流动性强、非消耗性、规模效应强等特点，只有通过场景牵引、制度供给和跨部门协同，才能发挥"数据飞轮"效应并提升资源配置效率。</w:t>
      </w:r>
    </w:p>
    <w:p w14:paraId="08160593">
      <w:pPr>
        <w:ind w:firstLine="420" w:firstLineChars="200"/>
      </w:pPr>
      <w:r>
        <w:rPr>
          <w:rFonts w:hint="eastAsia"/>
        </w:rPr>
        <w:t>由此可以判断，本课题需要回答的已经不是"要不要数字化"，而是"如何把"十五五"目标转化为可组织、可投入、可评估、可迭代的地方产业行动"。这是本课题的问题起点，也是本提纲全部内容设计的逻辑前提。</w:t>
      </w:r>
    </w:p>
    <w:p w14:paraId="43DCBECE">
      <w:pPr>
        <w:keepNext/>
        <w:keepLines/>
        <w:spacing w:before="100" w:beforeAutospacing="1" w:after="100" w:afterAutospacing="1"/>
        <w:outlineLvl w:val="1"/>
        <w:rPr>
          <w:sz w:val="32"/>
          <w:szCs w:val="32"/>
        </w:rPr>
      </w:pPr>
      <w:r>
        <w:rPr>
          <w:rFonts w:hint="eastAsia"/>
          <w:b/>
          <w:sz w:val="32"/>
        </w:rPr>
        <w:t>（二）区域背景：钱塘区处在规划落地的关键节点</w:t>
      </w:r>
    </w:p>
    <w:p w14:paraId="00F3A8E2">
      <w:pPr>
        <w:ind w:firstLine="420" w:firstLineChars="200"/>
      </w:pPr>
      <w:r>
        <w:rPr>
          <w:rFonts w:hint="eastAsia"/>
        </w:rPr>
        <w:t>从全国层面看，2024 年我国数字经济规模达 59.2 万亿元、占 GDP 比重 43.8%，数字经济核心产业增加值 14.09 万亿元、占 GDP 比重 10.5%；累计培育 421 家国家级智能制造示范工厂、超 4000 家 5G 工厂、72 家"灯塔工厂"。基础设施和标杆工厂的"点"已经建成，主要矛盾正在转向跨企业、跨环节、跨产业链的"线"和"面"上的协同，机制设计的重要性显著上升。</w:t>
      </w:r>
    </w:p>
    <w:p w14:paraId="019E3271">
      <w:pPr>
        <w:ind w:firstLine="420" w:firstLineChars="200"/>
      </w:pPr>
      <w:r>
        <w:rPr>
          <w:rFonts w:hint="eastAsia"/>
        </w:rPr>
        <w:t>从省市层面看，浙江省 2025 年数字经济核心产业增加值 12268 亿元、占 GDP 比重 13.0%，"十五五"规划纲要提出深化国家数字经济创新发展试验区和国家数据要素综合试验区建设，支持企业"智改数转"，打造数字化车间、智能工厂、未来工厂，并强调人工智能全链条融入产品设计、中试、生产、服务和运营；杭州市数字经济核心产业增加值 6780 亿元、占 GDP 比重 29.5%，规模以上人工智能核心产业营收增长 23.1%，构建"轻量化场景—市级 AI 工厂—省级未来工厂—国家级智能工厂"梯度体系，并健全"企业出题、政府助题、平台答题、车间验题、市场评价"的协同攻关机制，做强"296X"先进制造业集群。</w:t>
      </w:r>
    </w:p>
    <w:p w14:paraId="7B753063">
      <w:pPr>
        <w:ind w:firstLine="420" w:firstLineChars="200"/>
      </w:pPr>
      <w:r>
        <w:rPr>
          <w:rFonts w:hint="eastAsia"/>
        </w:rPr>
        <w:t>从钱塘区看，全区以全市约 3% 的土地贡献约 20% 的规模以上工业产值，集经济技术开发区、高新区、综合保税区、自贸区于一体，集聚"中国医药港""中国芯谷"等产业地标，2025 年数字经济核心产业增加值 214.08 亿元、占 GDP 比重 14.3%，研发经费投入强度 4.91%、居全省第二，高端装备制造业增加值增长 17.0%。钱塘区正处在国家、省、市战略能否落到产业链和企业端的关键节点。</w:t>
      </w:r>
    </w:p>
    <w:p w14:paraId="0C2BF59D">
      <w:pPr>
        <w:keepNext/>
        <w:keepLines/>
        <w:spacing w:before="100" w:beforeAutospacing="1" w:after="100" w:afterAutospacing="1"/>
        <w:outlineLvl w:val="1"/>
        <w:rPr>
          <w:sz w:val="32"/>
          <w:szCs w:val="32"/>
        </w:rPr>
      </w:pPr>
      <w:r>
        <w:rPr>
          <w:rFonts w:hint="eastAsia"/>
          <w:b/>
          <w:sz w:val="32"/>
        </w:rPr>
        <w:t>（三）研究现状与薄弱环节</w:t>
      </w:r>
    </w:p>
    <w:p w14:paraId="662C12C8">
      <w:pPr>
        <w:ind w:firstLine="420" w:firstLineChars="200"/>
      </w:pPr>
      <w:r>
        <w:rPr>
          <w:rFonts w:hint="eastAsia"/>
        </w:rPr>
        <w:t>国际研究表明，先进数字生产技术正在重塑制造业生产方式，人工智能、机器人、增材制造、数据分析和工业互联网正在模糊物理生产系统与数字生产系统的边界；德国工业 4.0 强调以信息物理系统、标准体系和生产网络重构制造业竞争优势；数字化转型研究指出，数字技术必须嵌入组织流程、价值创造路径和商业模式，才能形成真实转型绩效。国内研究也已证明数字经济能够通过技术渗透、效率优化、结构升级和空间溢出促进制造业高质量发展，智能制造研究强调新一代智能制造是人工智能与先进制造技术的深度融合，人工智能经济学研究将 AI 理解为降低预测成本、重塑判断与决策分工的关键技术，数字创新管理研究则强调数字技术改变了创新主体、创新过程和创新结果。</w:t>
      </w:r>
    </w:p>
    <w:p w14:paraId="0900B6AF">
      <w:pPr>
        <w:ind w:firstLine="420" w:firstLineChars="200"/>
      </w:pPr>
      <w:r>
        <w:rPr>
          <w:rFonts w:hint="eastAsia"/>
        </w:rPr>
        <w:t>但既有研究存在一个与本课题直接相关的薄弱环节：更多解释技术和组织变革的一般机制，对地方政府如何把战略目标、产业平台、公共数据、企业场景、金融工具和人才资源组织成闭环，关注仍然不足。钱塘区的现实问题则更为具体——高端制造业链条长、专业化程度高，数据分散在企业、园区、平台和部门之间，单个企业"智改数转"难以自动转化为产业链协同创新，单个部门的政策投入也难以自动形成现代化产业体系支撑。</w:t>
      </w:r>
    </w:p>
    <w:p w14:paraId="72731881">
      <w:pPr>
        <w:keepNext/>
        <w:keepLines/>
        <w:spacing w:before="100" w:beforeAutospacing="1" w:after="100" w:afterAutospacing="1"/>
        <w:outlineLvl w:val="1"/>
        <w:rPr>
          <w:sz w:val="32"/>
          <w:szCs w:val="32"/>
        </w:rPr>
      </w:pPr>
      <w:r>
        <w:rPr>
          <w:rFonts w:hint="eastAsia"/>
          <w:b/>
          <w:sz w:val="32"/>
        </w:rPr>
        <w:t>（四）拟回答的核心问题</w:t>
      </w:r>
    </w:p>
    <w:p w14:paraId="1372687D">
      <w:pPr>
        <w:ind w:firstLine="420" w:firstLineChars="200"/>
      </w:pPr>
      <w:r>
        <w:rPr>
          <w:rFonts w:hint="eastAsia"/>
        </w:rPr>
        <w:t>本课题聚焦三个相互衔接的核心问题：</w:t>
      </w:r>
    </w:p>
    <w:p w14:paraId="2E5A2E1A">
      <w:pPr>
        <w:numPr>
          <w:ilvl w:val="0"/>
          <w:numId w:val="1"/>
        </w:numPr>
      </w:pPr>
      <w:r>
        <w:rPr>
          <w:rFonts w:hint="eastAsia"/>
          <w:b/>
        </w:rPr>
        <w:t>融合创新"靠什么发生"</w:t>
      </w:r>
      <w:r>
        <w:rPr>
          <w:rFonts w:hint="eastAsia"/>
        </w:rPr>
        <w:t>——数字经济通过哪些可识别、可组织的机制作用于高端制造，这些机制之间的耦合关系和缺位后果是什么；</w:t>
      </w:r>
    </w:p>
    <w:p w14:paraId="3E5AB2F1">
      <w:pPr>
        <w:numPr>
          <w:ilvl w:val="0"/>
          <w:numId w:val="1"/>
        </w:numPr>
      </w:pPr>
      <w:r>
        <w:rPr>
          <w:rFonts w:hint="eastAsia"/>
          <w:b/>
        </w:rPr>
        <w:t>"现状如何、卡在哪里"</w:t>
      </w:r>
      <w:r>
        <w:rPr>
          <w:rFonts w:hint="eastAsia"/>
        </w:rPr>
        <w:t>——钱塘区四大重点产业的资源底座、场景储备和企业能力处于什么水平，数据、平台、能力、协同、要素、治理六类堵点各自的严重程度和分布特征如何；</w:t>
      </w:r>
    </w:p>
    <w:p w14:paraId="03CEEEEE">
      <w:pPr>
        <w:numPr>
          <w:ilvl w:val="0"/>
          <w:numId w:val="1"/>
        </w:numPr>
      </w:pPr>
      <w:r>
        <w:rPr>
          <w:rFonts w:hint="eastAsia"/>
          <w:b/>
        </w:rPr>
        <w:t>"如何组织推进"</w:t>
      </w:r>
      <w:r>
        <w:rPr>
          <w:rFonts w:hint="eastAsia"/>
        </w:rPr>
        <w:t>——面向链主企业、中小配套企业和园区平台应分别设计什么样的路径，政府如何形成"诊断—实施—评估—迭代"的政策闭环。</w:t>
      </w:r>
    </w:p>
    <w:p w14:paraId="766DEFA8">
      <w:pPr>
        <w:keepNext/>
        <w:keepLines/>
        <w:spacing w:before="100" w:beforeAutospacing="1" w:after="100" w:afterAutospacing="1"/>
        <w:outlineLvl w:val="0"/>
        <w:rPr>
          <w:kern w:val="44"/>
          <w:sz w:val="44"/>
          <w:szCs w:val="44"/>
        </w:rPr>
      </w:pPr>
      <w:r>
        <w:rPr>
          <w:rFonts w:hint="eastAsia"/>
          <w:b/>
          <w:sz w:val="44"/>
        </w:rPr>
        <w:t>三、研究目标与研究内容</w:t>
      </w:r>
    </w:p>
    <w:p w14:paraId="642D0FB5">
      <w:pPr>
        <w:keepNext/>
        <w:keepLines/>
        <w:spacing w:before="100" w:beforeAutospacing="1" w:after="100" w:afterAutospacing="1"/>
        <w:outlineLvl w:val="1"/>
        <w:rPr>
          <w:sz w:val="32"/>
          <w:szCs w:val="32"/>
        </w:rPr>
      </w:pPr>
      <w:r>
        <w:rPr>
          <w:rFonts w:hint="eastAsia"/>
          <w:b/>
          <w:sz w:val="32"/>
        </w:rPr>
        <w:t>（一）总体目标</w:t>
      </w:r>
    </w:p>
    <w:p w14:paraId="7724DC62">
      <w:pPr>
        <w:ind w:firstLine="420" w:firstLineChars="200"/>
      </w:pPr>
      <w:r>
        <w:rPr>
          <w:rFonts w:hint="eastAsia"/>
        </w:rPr>
        <w:t>以"十五五"规划目标为牵引，以钱塘区高端制造业链群为对象，以资源整合为抓手，以场景落地为检验，以绩效闭环为导向，识别数字经济作用于高端制造的稳定通道与组织安排，把"数实融合"从政策倡议转化为可组织、可投入、可评估、可迭代的区级产业行动，形成面向钱塘区的场景清单、能力诊断框架、绩效评价指标和政策工具组合。</w:t>
      </w:r>
    </w:p>
    <w:p w14:paraId="657519F6">
      <w:pPr>
        <w:keepNext/>
        <w:keepLines/>
        <w:spacing w:before="100" w:beforeAutospacing="1" w:after="100" w:afterAutospacing="1"/>
        <w:outlineLvl w:val="1"/>
        <w:rPr>
          <w:sz w:val="32"/>
          <w:szCs w:val="32"/>
        </w:rPr>
      </w:pPr>
      <w:r>
        <w:rPr>
          <w:rFonts w:hint="eastAsia"/>
          <w:b/>
          <w:sz w:val="32"/>
        </w:rPr>
        <w:t>（二）具体目标</w:t>
      </w:r>
    </w:p>
    <w:p w14:paraId="4B9D269E">
      <w:pPr>
        <w:numPr>
          <w:ilvl w:val="0"/>
          <w:numId w:val="2"/>
        </w:numPr>
      </w:pPr>
      <w:r>
        <w:rPr>
          <w:rFonts w:hint="eastAsia"/>
        </w:rPr>
        <w:t>完成"十五五"关于算力、算法、数据、人工智能+、制造业"智改数转网联"和中小企业数智赋能等战略任务向钱塘区产业治理命题的转译，形成"目标—资源—主体—场景"四维清单；</w:t>
      </w:r>
    </w:p>
    <w:p w14:paraId="664A3D3C">
      <w:pPr>
        <w:numPr>
          <w:ilvl w:val="0"/>
          <w:numId w:val="2"/>
        </w:numPr>
      </w:pPr>
      <w:r>
        <w:rPr>
          <w:rFonts w:hint="eastAsia"/>
        </w:rPr>
        <w:t>完成钱塘区四大重点产业的资源底座盘点和场景地图绘制，形成高价值场景图谱与优先级清单；</w:t>
      </w:r>
    </w:p>
    <w:p w14:paraId="6A65DA15">
      <w:pPr>
        <w:numPr>
          <w:ilvl w:val="0"/>
          <w:numId w:val="2"/>
        </w:numPr>
      </w:pPr>
      <w:r>
        <w:rPr>
          <w:rFonts w:hint="eastAsia"/>
        </w:rPr>
        <w:t>识别并检验数据要素激活、场景牵引、企业能力重构、链群协同、政策适配五类机制的作用路径与强度；</w:t>
      </w:r>
    </w:p>
    <w:p w14:paraId="556D2F40">
      <w:pPr>
        <w:numPr>
          <w:ilvl w:val="0"/>
          <w:numId w:val="2"/>
        </w:numPr>
      </w:pPr>
      <w:r>
        <w:rPr>
          <w:rFonts w:hint="eastAsia"/>
        </w:rPr>
        <w:t>构建"能力—过程—绩效"三层评价指标体系，识别"能不能转、值不值得转、能否规模化复制"的边界条件；</w:t>
      </w:r>
    </w:p>
    <w:p w14:paraId="345B9A92">
      <w:pPr>
        <w:numPr>
          <w:ilvl w:val="0"/>
          <w:numId w:val="2"/>
        </w:numPr>
      </w:pPr>
      <w:r>
        <w:rPr>
          <w:rFonts w:hint="eastAsia"/>
        </w:rPr>
        <w:t>提出分层分类的发展路径与"诊断—实施—评估—迭代"的政策闭环方案，形成政策工具包、场景项目库和绩效评价表。</w:t>
      </w:r>
    </w:p>
    <w:p w14:paraId="664A0A7F">
      <w:pPr>
        <w:keepNext/>
        <w:keepLines/>
        <w:spacing w:before="100" w:beforeAutospacing="1" w:after="100" w:afterAutospacing="1"/>
        <w:outlineLvl w:val="1"/>
        <w:rPr>
          <w:sz w:val="32"/>
          <w:szCs w:val="32"/>
        </w:rPr>
      </w:pPr>
      <w:r>
        <w:rPr>
          <w:rFonts w:hint="eastAsia"/>
          <w:b/>
          <w:sz w:val="32"/>
        </w:rPr>
        <w:t>（三）主要研究内容</w:t>
      </w:r>
    </w:p>
    <w:p w14:paraId="20013DD3">
      <w:pPr>
        <w:ind w:firstLine="420" w:firstLineChars="200"/>
      </w:pPr>
      <w:r>
        <w:rPr>
          <w:rFonts w:hint="eastAsia"/>
          <w:b/>
        </w:rPr>
        <w:t>1. 战略任务分解与资源底座识别。</w:t>
      </w:r>
      <w:r>
        <w:rPr>
          <w:rFonts w:hint="eastAsia"/>
        </w:rPr>
        <w:t xml:space="preserve"> 把"十五五"关于算力、算法、数据、人工智能+、制造业"智改数转网联"和中小企业数智赋能的任务，转译为钱塘区可操作的产业治理命题。在此基础上盘点钱塘区高端制造业资源底座，包括产业链主体、园区平台、公共数据、工业互联网平台、智能工厂基础、科研平台、金融工具、人才服务和政策资金，形成"目标—资源—主体—场景"四维清单。</w:t>
      </w:r>
    </w:p>
    <w:p w14:paraId="0911BA8B">
      <w:pPr>
        <w:ind w:firstLine="420" w:firstLineChars="200"/>
      </w:pPr>
      <w:r>
        <w:rPr>
          <w:rFonts w:hint="eastAsia"/>
          <w:b/>
        </w:rPr>
        <w:t>2. 场景地图构建与堵点清单。</w:t>
      </w:r>
      <w:r>
        <w:rPr>
          <w:rFonts w:hint="eastAsia"/>
        </w:rPr>
        <w:t xml:space="preserve"> 围绕生命健康、集成电路、新能源汽车及零部件、智能物联等重点产业，聚焦研发设计、中试验证、生产制造、质量控制、设备运维、供应链协同、能源管理、合规风控和市场服务九个环节，识别数字经济赋能的高价值场景。每个场景均从"业务痛点、数据来源、所需技术、参与主体、资源需求、预期绩效、落地障碍"七个维度展开，输出钱塘区高端制造业数字经济融合创新场景图谱和优先级清单，并归纳数据、平台、能力、协同、要素、治理六类堵点。</w:t>
      </w:r>
    </w:p>
    <w:p w14:paraId="3C713147">
      <w:pPr>
        <w:ind w:firstLine="420" w:firstLineChars="200"/>
      </w:pPr>
      <w:r>
        <w:rPr>
          <w:rFonts w:hint="eastAsia"/>
          <w:b/>
        </w:rPr>
        <w:t>3. 融合创新发展机制识别。</w:t>
      </w:r>
      <w:r>
        <w:rPr>
          <w:rFonts w:hint="eastAsia"/>
        </w:rPr>
        <w:t xml:space="preserve"> 重点分析五类机制：一是</w:t>
      </w:r>
      <w:r>
        <w:rPr>
          <w:rFonts w:hint="eastAsia"/>
          <w:b/>
        </w:rPr>
        <w:t>数据要素激活机制</w:t>
      </w:r>
      <w:r>
        <w:rPr>
          <w:rFonts w:hint="eastAsia"/>
        </w:rPr>
        <w:t>，即企业数据、行业数据、公共数据如何通过治理、授权、共享和可信流通进入研发、生产和供应链决策；二是</w:t>
      </w:r>
      <w:r>
        <w:rPr>
          <w:rFonts w:hint="eastAsia"/>
          <w:b/>
        </w:rPr>
        <w:t>场景牵引机制</w:t>
      </w:r>
      <w:r>
        <w:rPr>
          <w:rFonts w:hint="eastAsia"/>
        </w:rPr>
        <w:t>，即以真实业务场景倒逼算法、工业软件、设备和流程集成，形成"需求牵引—方案供给—车间验证—市场评价"的转化链条；三是</w:t>
      </w:r>
      <w:r>
        <w:rPr>
          <w:rFonts w:hint="eastAsia"/>
          <w:b/>
        </w:rPr>
        <w:t>企业能力重构机制</w:t>
      </w:r>
      <w:r>
        <w:rPr>
          <w:rFonts w:hint="eastAsia"/>
        </w:rPr>
        <w:t>，即数字技术如何改变组织流程、技能结构、管理决策和商业模式；四是</w:t>
      </w:r>
      <w:r>
        <w:rPr>
          <w:rFonts w:hint="eastAsia"/>
          <w:b/>
        </w:rPr>
        <w:t>链群协同机制</w:t>
      </w:r>
      <w:r>
        <w:rPr>
          <w:rFonts w:hint="eastAsia"/>
        </w:rPr>
        <w:t>，即链主企业、平台企业、中小企业、园区和公共服务机构如何形成分工协同和创新扩散；五是</w:t>
      </w:r>
      <w:r>
        <w:rPr>
          <w:rFonts w:hint="eastAsia"/>
          <w:b/>
        </w:rPr>
        <w:t>政策适配机制</w:t>
      </w:r>
      <w:r>
        <w:rPr>
          <w:rFonts w:hint="eastAsia"/>
        </w:rPr>
        <w:t>，即财政、金融、人才、标准、算力、数据治理和安全监管工具如何降低转型成本、分担试错风险并扩大可复制场景。</w:t>
      </w:r>
    </w:p>
    <w:p w14:paraId="6958060A">
      <w:pPr>
        <w:ind w:firstLine="420" w:firstLineChars="200"/>
      </w:pPr>
      <w:r>
        <w:rPr>
          <w:rFonts w:hint="eastAsia"/>
          <w:b/>
        </w:rPr>
        <w:t>4. 绩效评价与边界条件识别。</w:t>
      </w:r>
      <w:r>
        <w:rPr>
          <w:rFonts w:hint="eastAsia"/>
        </w:rPr>
        <w:t xml:space="preserve"> 构建两组指标：一组是融合创新投入与能力指标，包括数据治理能力、算力和工业软件可得性、智能场景覆盖度、平台协同水平、人才支撑、金融支持和政策可及性；另一组是发展绩效指标，包括研发效率、专利质量、产品迭代速度、生产效率、质量稳定性、供应链韧性、绿色绩效和市场响应能力。在数据允许的条件下，比较不同产业、不同规模企业、链主企业与配套企业、园区内外企业之间的差异，识别决定融合成效的关键条件。</w:t>
      </w:r>
    </w:p>
    <w:p w14:paraId="507F83F6">
      <w:pPr>
        <w:ind w:firstLine="420" w:firstLineChars="200"/>
      </w:pPr>
      <w:r>
        <w:rPr>
          <w:rFonts w:hint="eastAsia"/>
          <w:b/>
        </w:rPr>
        <w:t>5. 路径模型与政策闭环。</w:t>
      </w:r>
      <w:r>
        <w:rPr>
          <w:rFonts w:hint="eastAsia"/>
        </w:rPr>
        <w:t xml:space="preserve"> 形成三类路径：链主企业侧重"工业数据底座＋研发制造协同＋供应链接口开放"；中小企业侧重"小快轻准工具＋上云用数赋智＋共享服务"；园区平台侧重"公共算力＋工业软件＋数据治理＋检测认证＋人才培训＋金融服务"一体化供给。最终政策建议按"谁来做、整合什么资源、落在哪类场景、形成什么指标、如何评估迭代"展开。</w:t>
      </w:r>
    </w:p>
    <w:p w14:paraId="4DDE4A88">
      <w:pPr>
        <w:keepNext/>
        <w:keepLines/>
        <w:spacing w:before="100" w:beforeAutospacing="1" w:after="100" w:afterAutospacing="1"/>
        <w:outlineLvl w:val="0"/>
        <w:rPr>
          <w:kern w:val="44"/>
          <w:sz w:val="44"/>
          <w:szCs w:val="44"/>
        </w:rPr>
      </w:pPr>
      <w:r>
        <w:rPr>
          <w:rFonts w:hint="eastAsia"/>
          <w:b/>
          <w:sz w:val="44"/>
        </w:rPr>
        <w:t>四、研究思路与分析框架</w:t>
      </w:r>
    </w:p>
    <w:p w14:paraId="6D82F9A7">
      <w:pPr>
        <w:keepNext/>
        <w:keepLines/>
        <w:spacing w:before="100" w:beforeAutospacing="1" w:after="100" w:afterAutospacing="1"/>
        <w:outlineLvl w:val="1"/>
        <w:rPr>
          <w:sz w:val="32"/>
          <w:szCs w:val="32"/>
        </w:rPr>
      </w:pPr>
      <w:r>
        <w:rPr>
          <w:rFonts w:hint="eastAsia"/>
          <w:b/>
          <w:sz w:val="32"/>
        </w:rPr>
        <w:t>（一）总体思路："六环节"研究主线</w:t>
      </w:r>
    </w:p>
    <w:p w14:paraId="5F1CB6FF">
      <w:pPr>
        <w:ind w:firstLine="420" w:firstLineChars="200"/>
      </w:pPr>
      <w:r>
        <w:rPr>
          <w:rFonts w:hint="eastAsia"/>
        </w:rPr>
        <w:t>本课题不把数字经济简单理解为技术投入，而是把它作为重组数据、算力、算法、工业软件、产业平台、金融资本、人才和治理规则的系统工程。研究以规划目标为牵引、以链群为对象、以资源整合为抓手、以场景落地为检验、以绩效闭环为导向，构建"战略目标—资源底座—场景应用—机制识别—路径设计—政策闭环"的六环节研究主线。</w:t>
      </w:r>
    </w:p>
    <w:p w14:paraId="57FE9397">
      <w:pPr>
        <w:ind w:firstLine="420" w:firstLineChars="200"/>
      </w:pPr>
      <w:r>
        <w:rPr>
          <w:rFonts w:hint="eastAsia"/>
        </w:rPr>
        <w:t>主轴层贯穿目标分解、场景诊断、机制识别与绩效评估，机制层识别五类机制，路径层针对三类主体设计差异化路径）</w:t>
      </w:r>
    </w:p>
    <w:p w14:paraId="11A4CD2E">
      <w:pPr>
        <w:keepNext/>
        <w:keepLines/>
        <w:spacing w:before="100" w:beforeAutospacing="1" w:after="100" w:afterAutospacing="1"/>
        <w:outlineLvl w:val="1"/>
        <w:rPr>
          <w:sz w:val="32"/>
          <w:szCs w:val="32"/>
        </w:rPr>
      </w:pPr>
      <w:r>
        <w:rPr>
          <w:rFonts w:hint="eastAsia"/>
          <w:b/>
          <w:sz w:val="32"/>
        </w:rPr>
        <w:t>（二）分析框架：五大作用机制及其耦合</w:t>
      </w:r>
    </w:p>
    <w:p w14:paraId="7EDF9E82">
      <w:pPr>
        <w:ind w:firstLine="420" w:firstLineChars="200"/>
      </w:pPr>
      <w:r>
        <w:rPr>
          <w:rFonts w:hint="eastAsia"/>
        </w:rPr>
        <w:t>五大作用机制耦合于具体场景，分别回答融合创新的不同前置条件；任一机制缺位都会形成融合瓶颈，构成堵点诊断的分析坐标。</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2768"/>
        <w:gridCol w:w="2768"/>
        <w:gridCol w:w="2768"/>
      </w:tblGrid>
      <w:tr w14:paraId="59D7F34F">
        <w:trPr>
          <w:tblHeader/>
        </w:trPr>
        <w:tc>
          <w:tcPr>
            <w:tcW w:w="2768" w:type="dxa"/>
          </w:tcPr>
          <w:p w14:paraId="67BE3C88">
            <w:pPr>
              <w:rPr>
                <w:b/>
                <w:bCs/>
              </w:rPr>
            </w:pPr>
            <w:r>
              <w:rPr>
                <w:rFonts w:hint="eastAsia"/>
                <w:b/>
              </w:rPr>
              <w:t>机制</w:t>
            </w:r>
          </w:p>
        </w:tc>
        <w:tc>
          <w:tcPr>
            <w:tcW w:w="2768" w:type="dxa"/>
          </w:tcPr>
          <w:p w14:paraId="4A26657D">
            <w:pPr>
              <w:rPr>
                <w:b/>
                <w:bCs/>
              </w:rPr>
            </w:pPr>
            <w:r>
              <w:rPr>
                <w:rFonts w:hint="eastAsia"/>
                <w:b/>
              </w:rPr>
              <w:t>回答的问题</w:t>
            </w:r>
          </w:p>
        </w:tc>
        <w:tc>
          <w:tcPr>
            <w:tcW w:w="2768" w:type="dxa"/>
          </w:tcPr>
          <w:p w14:paraId="5A3DBDE1">
            <w:pPr>
              <w:rPr>
                <w:b/>
                <w:bCs/>
              </w:rPr>
            </w:pPr>
            <w:r>
              <w:rPr>
                <w:rFonts w:hint="eastAsia"/>
                <w:b/>
              </w:rPr>
              <w:t>在框架中的角色</w:t>
            </w:r>
          </w:p>
        </w:tc>
      </w:tr>
      <w:tr w14:paraId="128F1F19">
        <w:tc>
          <w:tcPr>
            <w:tcW w:w="2768" w:type="dxa"/>
          </w:tcPr>
          <w:p w14:paraId="17933533">
            <w:r>
              <w:rPr>
                <w:rFonts w:hint="eastAsia"/>
              </w:rPr>
              <w:t>① 数据要素激活</w:t>
            </w:r>
          </w:p>
        </w:tc>
        <w:tc>
          <w:tcPr>
            <w:tcW w:w="2768" w:type="dxa"/>
          </w:tcPr>
          <w:p w14:paraId="68EA2858">
            <w:r>
              <w:rPr>
                <w:rFonts w:hint="eastAsia"/>
              </w:rPr>
              <w:t>数据能否流动、能否进入决策</w:t>
            </w:r>
          </w:p>
        </w:tc>
        <w:tc>
          <w:tcPr>
            <w:tcW w:w="2768" w:type="dxa"/>
          </w:tcPr>
          <w:p w14:paraId="5182EBD2">
            <w:r>
              <w:rPr>
                <w:rFonts w:hint="eastAsia"/>
              </w:rPr>
              <w:t>纽带</w:t>
            </w:r>
          </w:p>
        </w:tc>
      </w:tr>
      <w:tr w14:paraId="643D27A2">
        <w:tc>
          <w:tcPr>
            <w:tcW w:w="2768" w:type="dxa"/>
          </w:tcPr>
          <w:p w14:paraId="61B11364">
            <w:r>
              <w:rPr>
                <w:rFonts w:hint="eastAsia"/>
              </w:rPr>
              <w:t>② 场景牵引</w:t>
            </w:r>
          </w:p>
        </w:tc>
        <w:tc>
          <w:tcPr>
            <w:tcW w:w="2768" w:type="dxa"/>
          </w:tcPr>
          <w:p w14:paraId="189F32BF">
            <w:r>
              <w:rPr>
                <w:rFonts w:hint="eastAsia"/>
              </w:rPr>
              <w:t>技术为谁所用、在哪里验证</w:t>
            </w:r>
          </w:p>
        </w:tc>
        <w:tc>
          <w:tcPr>
            <w:tcW w:w="2768" w:type="dxa"/>
          </w:tcPr>
          <w:p w14:paraId="01BF8C79">
            <w:r>
              <w:rPr>
                <w:rFonts w:hint="eastAsia"/>
              </w:rPr>
              <w:t>入口</w:t>
            </w:r>
          </w:p>
        </w:tc>
      </w:tr>
      <w:tr w14:paraId="6D6AD875">
        <w:tc>
          <w:tcPr>
            <w:tcW w:w="2768" w:type="dxa"/>
          </w:tcPr>
          <w:p w14:paraId="5DA61508">
            <w:r>
              <w:rPr>
                <w:rFonts w:hint="eastAsia"/>
              </w:rPr>
              <w:t>③ 企业能力重构</w:t>
            </w:r>
          </w:p>
        </w:tc>
        <w:tc>
          <w:tcPr>
            <w:tcW w:w="2768" w:type="dxa"/>
          </w:tcPr>
          <w:p w14:paraId="1F485EAF">
            <w:r>
              <w:rPr>
                <w:rFonts w:hint="eastAsia"/>
              </w:rPr>
              <w:t>技术能否被吸收、能否转化为组织能力</w:t>
            </w:r>
          </w:p>
        </w:tc>
        <w:tc>
          <w:tcPr>
            <w:tcW w:w="2768" w:type="dxa"/>
          </w:tcPr>
          <w:p w14:paraId="04ACBC6D">
            <w:r>
              <w:rPr>
                <w:rFonts w:hint="eastAsia"/>
              </w:rPr>
              <w:t>内因</w:t>
            </w:r>
          </w:p>
        </w:tc>
      </w:tr>
      <w:tr w14:paraId="2AC5A133">
        <w:tc>
          <w:tcPr>
            <w:tcW w:w="2768" w:type="dxa"/>
          </w:tcPr>
          <w:p w14:paraId="148367D9">
            <w:r>
              <w:rPr>
                <w:rFonts w:hint="eastAsia"/>
              </w:rPr>
              <w:t>④ 链群协同</w:t>
            </w:r>
          </w:p>
        </w:tc>
        <w:tc>
          <w:tcPr>
            <w:tcW w:w="2768" w:type="dxa"/>
          </w:tcPr>
          <w:p w14:paraId="6948F8F0">
            <w:r>
              <w:rPr>
                <w:rFonts w:hint="eastAsia"/>
              </w:rPr>
              <w:t>个体绩效如何放大为链群绩效</w:t>
            </w:r>
          </w:p>
        </w:tc>
        <w:tc>
          <w:tcPr>
            <w:tcW w:w="2768" w:type="dxa"/>
          </w:tcPr>
          <w:p w14:paraId="704A86A8">
            <w:r>
              <w:rPr>
                <w:rFonts w:hint="eastAsia"/>
              </w:rPr>
              <w:t>放大器</w:t>
            </w:r>
          </w:p>
        </w:tc>
      </w:tr>
      <w:tr w14:paraId="72C2F2EA">
        <w:tc>
          <w:tcPr>
            <w:tcW w:w="2768" w:type="dxa"/>
          </w:tcPr>
          <w:p w14:paraId="0078491B">
            <w:r>
              <w:rPr>
                <w:rFonts w:hint="eastAsia"/>
              </w:rPr>
              <w:t>⑤ 政策适配</w:t>
            </w:r>
          </w:p>
        </w:tc>
        <w:tc>
          <w:tcPr>
            <w:tcW w:w="2768" w:type="dxa"/>
          </w:tcPr>
          <w:p w14:paraId="2077F803">
            <w:r>
              <w:rPr>
                <w:rFonts w:hint="eastAsia"/>
              </w:rPr>
              <w:t>成本与风险如何分担、规则如何供给</w:t>
            </w:r>
          </w:p>
        </w:tc>
        <w:tc>
          <w:tcPr>
            <w:tcW w:w="2768" w:type="dxa"/>
          </w:tcPr>
          <w:p w14:paraId="5527730E">
            <w:r>
              <w:rPr>
                <w:rFonts w:hint="eastAsia"/>
              </w:rPr>
              <w:t>制度保障</w:t>
            </w:r>
          </w:p>
        </w:tc>
      </w:tr>
    </w:tbl>
    <w:p w14:paraId="2FEDEBA1">
      <w:pPr>
        <w:keepNext/>
        <w:keepLines/>
        <w:spacing w:before="100" w:beforeAutospacing="1" w:after="100" w:afterAutospacing="1"/>
        <w:outlineLvl w:val="1"/>
        <w:rPr>
          <w:sz w:val="32"/>
          <w:szCs w:val="32"/>
        </w:rPr>
      </w:pPr>
      <w:r>
        <w:rPr>
          <w:rFonts w:hint="eastAsia"/>
          <w:b/>
          <w:sz w:val="32"/>
        </w:rPr>
        <w:t>（三）拟提出的主要观点</w:t>
      </w:r>
    </w:p>
    <w:p w14:paraId="12829AD2">
      <w:pPr>
        <w:ind w:firstLine="420" w:firstLineChars="200"/>
      </w:pPr>
      <w:r>
        <w:rPr>
          <w:rFonts w:hint="eastAsia"/>
          <w:b/>
        </w:rPr>
        <w:t>第一，数字经济赋能高端制造业的核心不只是技术替代，而是以数据要素为纽带重构"研发—生产—供应链—服务"的决策体系。</w:t>
      </w:r>
      <w:r>
        <w:rPr>
          <w:rFonts w:hint="eastAsia"/>
        </w:rPr>
        <w:t xml:space="preserve"> AI 和工业互联网降低预测、感知和协同成本，但只有与企业流程、组织学习和治理制度相结合，才能形成持续创新绩效。</w:t>
      </w:r>
    </w:p>
    <w:p w14:paraId="3737C414">
      <w:pPr>
        <w:ind w:firstLine="420" w:firstLineChars="200"/>
      </w:pPr>
      <w:r>
        <w:rPr>
          <w:rFonts w:hint="eastAsia"/>
          <w:b/>
        </w:rPr>
        <w:t>第二，高端制造业融合创新存在明显的场景差异和企业异质性。</w:t>
      </w:r>
      <w:r>
        <w:rPr>
          <w:rFonts w:hint="eastAsia"/>
        </w:rPr>
        <w:t xml:space="preserve"> 研发设计、生产制造、质量控制、供应链管理和绿色治理的数字化收益来源不同，链主企业、中小配套企业和平台服务机构的能力基础也不同，因此政策应从普惠补贴转向"场景包＋能力包＋服务包"的分层支持。</w:t>
      </w:r>
    </w:p>
    <w:p w14:paraId="462C5C61">
      <w:pPr>
        <w:ind w:firstLine="420" w:firstLineChars="200"/>
      </w:pPr>
      <w:r>
        <w:rPr>
          <w:rFonts w:hint="eastAsia"/>
          <w:b/>
        </w:rPr>
        <w:t>第三，钱塘区应发挥先进制造业基础、产业地标、工业互联网平台和未来工厂基础优势，构建区域融合创新生态。</w:t>
      </w:r>
      <w:r>
        <w:rPr>
          <w:rFonts w:hint="eastAsia"/>
        </w:rPr>
        <w:t xml:space="preserve"> 以园区平台为载体、以链主企业为牵引、以中小企业轻量化改造为重点、以公共数据和公共服务为支撑。</w:t>
      </w:r>
    </w:p>
    <w:p w14:paraId="0A33D454">
      <w:pPr>
        <w:ind w:firstLine="420" w:firstLineChars="200"/>
      </w:pPr>
      <w:r>
        <w:rPr>
          <w:rFonts w:hint="eastAsia"/>
          <w:b/>
        </w:rPr>
        <w:t>第四，融合创新政策需要形成"诊断—实施—评估—迭代"的闭环。</w:t>
      </w:r>
      <w:r>
        <w:rPr>
          <w:rFonts w:hint="eastAsia"/>
        </w:rPr>
        <w:t xml:space="preserve"> 政府部门不仅要支持企业设备和软件投入，还要将数据治理、标准接口、人才培训、金融工具和应用场景验证纳入政策体系，并通过指标评价持续识别政策有效性和企业真实获得感。</w:t>
      </w:r>
    </w:p>
    <w:p w14:paraId="55B47F2E">
      <w:pPr>
        <w:keepNext/>
        <w:keepLines/>
        <w:spacing w:before="100" w:beforeAutospacing="1" w:after="100" w:afterAutospacing="1"/>
        <w:outlineLvl w:val="0"/>
        <w:rPr>
          <w:kern w:val="44"/>
          <w:sz w:val="44"/>
          <w:szCs w:val="44"/>
        </w:rPr>
      </w:pPr>
      <w:r>
        <w:rPr>
          <w:rFonts w:hint="eastAsia"/>
          <w:b/>
          <w:sz w:val="44"/>
        </w:rPr>
        <w:t>五、研究方法</w:t>
      </w:r>
    </w:p>
    <w:p w14:paraId="72DD0BC0">
      <w:pPr>
        <w:ind w:firstLine="420" w:firstLineChars="200"/>
      </w:pPr>
      <w:r>
        <w:rPr>
          <w:rFonts w:hint="eastAsia"/>
        </w:rPr>
        <w:t>研究采用"政策解析＋场景诊断＋机制识别＋路径推演＋闭环评估"的组合方法，政策文本、企业问卷、深度访谈与上市公司微观数据四类证据相互印证。</w:t>
      </w:r>
    </w:p>
    <w:p w14:paraId="74BB5553">
      <w:r>
        <w:rPr>
          <w:rFonts w:hint="eastAsia"/>
          <w:b/>
        </w:rPr>
        <w:t>1. 政策文本分析与目标分解法。</w:t>
      </w:r>
      <w:r>
        <w:rPr>
          <w:rFonts w:hint="eastAsia"/>
        </w:rPr>
        <w:t xml:space="preserve"> 梳理"十五五"、浙江省、杭州市和钱塘区相关规划与政策文件，形成战略任务、资源要素和评价指标之间的映射关系，把上位规划目标分解到产业链、企业和场景层面。</w:t>
      </w:r>
    </w:p>
    <w:p w14:paraId="53F0F089">
      <w:r>
        <w:rPr>
          <w:rFonts w:hint="eastAsia"/>
          <w:b/>
        </w:rPr>
        <w:t>2. 问卷调查法。</w:t>
      </w:r>
      <w:r>
        <w:rPr>
          <w:rFonts w:hint="eastAsia"/>
        </w:rPr>
        <w:t xml:space="preserve"> 面向钱塘区四大重点产业的规模以上工业企业和重点中小配套企业发放结构化问卷，测量数字化基础与投入、九环节场景应用、数据要素激活、企业能力重构、链群协同、堵点严重程度、政策获得感与融合绩效等变量的真实分布。问卷内容详见第六章。</w:t>
      </w:r>
    </w:p>
    <w:p w14:paraId="3907E11A">
      <w:r>
        <w:rPr>
          <w:rFonts w:hint="eastAsia"/>
          <w:b/>
        </w:rPr>
        <w:t>3. 深度访谈法。</w:t>
      </w:r>
      <w:r>
        <w:rPr>
          <w:rFonts w:hint="eastAsia"/>
        </w:rPr>
        <w:t xml:space="preserve"> 在问卷基础上选取 15—20 家代表性企业开展半结构化访谈，对象覆盖链主/龙头企业、中小配套企业和园区平台/数字化服务商三类，用于解释问卷数据的成因、补充案例、校准结论。</w:t>
      </w:r>
    </w:p>
    <w:p w14:paraId="77CD32C8">
      <w:r>
        <w:rPr>
          <w:rFonts w:hint="eastAsia"/>
          <w:b/>
        </w:rPr>
        <w:t>4. 统计与计量分析。</w:t>
      </w:r>
      <w:r>
        <w:rPr>
          <w:rFonts w:hint="eastAsia"/>
        </w:rPr>
        <w:t xml:space="preserve"> 运用描述统计、分组比较、信度效度检验、有序 Logistic 回归或结构方程模型，检验五大机制对融合绩效的作用路径与强度；辅以同花顺 iFinD 等上市公司微观面板数据进行外部验证。</w:t>
      </w:r>
    </w:p>
    <w:p w14:paraId="1774095F">
      <w:r>
        <w:rPr>
          <w:rFonts w:hint="eastAsia"/>
          <w:b/>
        </w:rPr>
        <w:t>5. 比较案例研究。</w:t>
      </w:r>
      <w:r>
        <w:rPr>
          <w:rFonts w:hint="eastAsia"/>
        </w:rPr>
        <w:t xml:space="preserve"> 选取国内外融合创新的典型经验（德国工业 4.0 的标准先行与中小企业支援、国内产业大脑、链式改造、场景开放等）与钱塘实践进行比较分析，提炼可迁移的制度要素。</w:t>
      </w:r>
    </w:p>
    <w:p w14:paraId="1F2D24BB">
      <w:r>
        <w:rPr>
          <w:rFonts w:hint="eastAsia"/>
          <w:b/>
        </w:rPr>
        <w:t>6. 政策工具矩阵与绩效评价法。</w:t>
      </w:r>
      <w:r>
        <w:rPr>
          <w:rFonts w:hint="eastAsia"/>
        </w:rPr>
        <w:t xml:space="preserve"> 按机制类型梳理政策工具、支持对象与评估指标，构建"资源投入—场景实施—过程监测—结果评估—政策迭代"的闭环治理方案。</w:t>
      </w:r>
    </w:p>
    <w:p w14:paraId="3D141F4B"/>
    <w:p w14:paraId="4D01B7C7">
      <w:pPr>
        <w:keepNext/>
        <w:keepLines/>
        <w:spacing w:before="100" w:beforeAutospacing="1" w:after="100" w:afterAutospacing="1"/>
        <w:outlineLvl w:val="0"/>
        <w:rPr>
          <w:kern w:val="44"/>
          <w:sz w:val="44"/>
          <w:szCs w:val="44"/>
        </w:rPr>
      </w:pPr>
      <w:r>
        <w:rPr>
          <w:rFonts w:hint="eastAsia"/>
          <w:b/>
          <w:sz w:val="44"/>
        </w:rPr>
        <w:t>六、调研方案设计</w:t>
      </w:r>
    </w:p>
    <w:p w14:paraId="0E06C3D1">
      <w:pPr>
        <w:ind w:firstLine="420" w:firstLineChars="200"/>
      </w:pPr>
      <w:r>
        <w:rPr>
          <w:rFonts w:hint="eastAsia"/>
        </w:rPr>
        <w:t>调研是本次研究获取一手证据的主要途径，由</w:t>
      </w:r>
      <w:r>
        <w:rPr>
          <w:rFonts w:hint="eastAsia"/>
          <w:b/>
        </w:rPr>
        <w:t>企业数字化转型调查问卷</w:t>
      </w:r>
      <w:r>
        <w:rPr>
          <w:rFonts w:hint="eastAsia"/>
        </w:rPr>
        <w:t>与</w:t>
      </w:r>
      <w:r>
        <w:rPr>
          <w:rFonts w:hint="eastAsia"/>
          <w:b/>
        </w:rPr>
        <w:t>三类对象深度访谈</w:t>
      </w:r>
      <w:r>
        <w:rPr>
          <w:rFonts w:hint="eastAsia"/>
        </w:rPr>
        <w:t>两部分组成，配套《抽样方案、变量编码与数据分析说明》执行。</w:t>
      </w:r>
    </w:p>
    <w:p w14:paraId="014DE2DF">
      <w:pPr>
        <w:keepNext/>
        <w:keepLines/>
        <w:spacing w:before="100" w:beforeAutospacing="1" w:after="100" w:afterAutospacing="1"/>
        <w:outlineLvl w:val="1"/>
        <w:rPr>
          <w:sz w:val="32"/>
          <w:szCs w:val="32"/>
        </w:rPr>
      </w:pPr>
      <w:r>
        <w:rPr>
          <w:rFonts w:hint="eastAsia"/>
          <w:b/>
          <w:sz w:val="32"/>
        </w:rPr>
        <w:t>（一）调研对象与调研总体</w:t>
      </w:r>
    </w:p>
    <w:p w14:paraId="33FAAB94">
      <w:pPr>
        <w:ind w:firstLine="420" w:firstLineChars="200"/>
      </w:pPr>
      <w:r>
        <w:rPr>
          <w:rFonts w:hint="eastAsia"/>
        </w:rPr>
        <w:t>调研总体为钱塘区生命健康、集成电路、新能源汽车及零部件、智能物联四大重点产业及相关新材料、高端装备领域的规模以上工业企业和重点中小配套企业。样本框以区经济和信息化部门企业名录、园区入驻企业清单和上市/专精特新企业名单合并去重形成。</w:t>
      </w:r>
    </w:p>
    <w:p w14:paraId="75EAA081">
      <w:pPr>
        <w:ind w:firstLine="420" w:firstLineChars="200"/>
      </w:pPr>
      <w:r>
        <w:rPr>
          <w:rFonts w:hint="eastAsia"/>
        </w:rPr>
        <w:t>问卷填写对象原则上为企业负责人或信息化、生产运营中层以上管理者，确保数据可靠；关键数值题允许区间作答，避免强填。访谈对象为企业主要负责人、首席信息官/数字化负责人或生产运营负责人。</w:t>
      </w:r>
    </w:p>
    <w:p w14:paraId="0A308D36">
      <w:pPr>
        <w:keepNext/>
        <w:keepLines/>
        <w:spacing w:before="100" w:beforeAutospacing="1" w:after="100" w:afterAutospacing="1"/>
        <w:outlineLvl w:val="1"/>
        <w:rPr>
          <w:sz w:val="32"/>
          <w:szCs w:val="32"/>
        </w:rPr>
      </w:pPr>
      <w:r>
        <w:rPr>
          <w:rFonts w:hint="eastAsia"/>
          <w:b/>
          <w:sz w:val="32"/>
        </w:rPr>
        <w:t>（二）抽样方案与样本配额</w:t>
      </w:r>
    </w:p>
    <w:p w14:paraId="19F420CE">
      <w:pPr>
        <w:ind w:firstLine="420" w:firstLineChars="200"/>
      </w:pPr>
      <w:r>
        <w:rPr>
          <w:rFonts w:hint="eastAsia"/>
        </w:rPr>
        <w:t>采用分层配额抽样，先按产业分层，再在产业内按企业规模和产业链位置交叉配额，保证链主企业、各级配套企业和平台服务商均有覆盖。目标为有效问卷不少于 150 份，问卷有效回收率不低于 85%，单份问卷漏答关键题超过 20% 视为无效。</w:t>
      </w:r>
    </w:p>
    <w:p w14:paraId="62BB4C9A">
      <w:pPr>
        <w:jc w:val="center"/>
      </w:pPr>
      <w:r>
        <w:rPr>
          <w:rFonts w:hint="eastAsia"/>
          <w:b/>
        </w:rPr>
        <w:t>表 6-1　150 份有效问卷的建议配额（份）</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3410"/>
        <w:gridCol w:w="1775"/>
        <w:gridCol w:w="2338"/>
        <w:gridCol w:w="781"/>
      </w:tblGrid>
      <w:tr w14:paraId="660BAF60">
        <w:trPr>
          <w:tblHeader/>
        </w:trPr>
        <w:tc>
          <w:tcPr>
            <w:tcW w:w="3410" w:type="dxa"/>
          </w:tcPr>
          <w:p w14:paraId="2F03DAF0">
            <w:pPr>
              <w:rPr>
                <w:b/>
                <w:bCs/>
              </w:rPr>
            </w:pPr>
            <w:r>
              <w:rPr>
                <w:rFonts w:hint="eastAsia"/>
                <w:b/>
              </w:rPr>
              <w:t>产业分层</w:t>
            </w:r>
          </w:p>
        </w:tc>
        <w:tc>
          <w:tcPr>
            <w:tcW w:w="1775" w:type="dxa"/>
          </w:tcPr>
          <w:p w14:paraId="59DB029F">
            <w:pPr>
              <w:rPr>
                <w:b/>
                <w:bCs/>
              </w:rPr>
            </w:pPr>
            <w:r>
              <w:rPr>
                <w:rFonts w:hint="eastAsia"/>
                <w:b/>
              </w:rPr>
              <w:t>规上企业</w:t>
            </w:r>
          </w:p>
        </w:tc>
        <w:tc>
          <w:tcPr>
            <w:tcW w:w="2338" w:type="dxa"/>
          </w:tcPr>
          <w:p w14:paraId="0BF193F8">
            <w:pPr>
              <w:rPr>
                <w:b/>
                <w:bCs/>
              </w:rPr>
            </w:pPr>
            <w:r>
              <w:rPr>
                <w:rFonts w:hint="eastAsia"/>
                <w:b/>
              </w:rPr>
              <w:t>规下重点中小企业</w:t>
            </w:r>
          </w:p>
        </w:tc>
        <w:tc>
          <w:tcPr>
            <w:tcW w:w="781" w:type="dxa"/>
          </w:tcPr>
          <w:p w14:paraId="70CD03B6">
            <w:pPr>
              <w:rPr>
                <w:b/>
                <w:bCs/>
              </w:rPr>
            </w:pPr>
            <w:r>
              <w:rPr>
                <w:rFonts w:hint="eastAsia"/>
                <w:b/>
              </w:rPr>
              <w:t>小计</w:t>
            </w:r>
          </w:p>
        </w:tc>
      </w:tr>
      <w:tr w14:paraId="0D1907BE">
        <w:tc>
          <w:tcPr>
            <w:tcW w:w="3410" w:type="dxa"/>
          </w:tcPr>
          <w:p w14:paraId="5F750019">
            <w:r>
              <w:rPr>
                <w:rFonts w:hint="eastAsia"/>
              </w:rPr>
              <w:t>生命健康</w:t>
            </w:r>
          </w:p>
        </w:tc>
        <w:tc>
          <w:tcPr>
            <w:tcW w:w="1775" w:type="dxa"/>
          </w:tcPr>
          <w:p w14:paraId="44A6F2E3">
            <w:r>
              <w:t>20</w:t>
            </w:r>
          </w:p>
        </w:tc>
        <w:tc>
          <w:tcPr>
            <w:tcW w:w="2338" w:type="dxa"/>
          </w:tcPr>
          <w:p w14:paraId="4D865CDD">
            <w:r>
              <w:t>10</w:t>
            </w:r>
          </w:p>
        </w:tc>
        <w:tc>
          <w:tcPr>
            <w:tcW w:w="781" w:type="dxa"/>
          </w:tcPr>
          <w:p w14:paraId="32E7BA5F">
            <w:r>
              <w:t>30</w:t>
            </w:r>
          </w:p>
        </w:tc>
      </w:tr>
      <w:tr w14:paraId="6EDEC4D6">
        <w:tc>
          <w:tcPr>
            <w:tcW w:w="3410" w:type="dxa"/>
          </w:tcPr>
          <w:p w14:paraId="28309DC5">
            <w:r>
              <w:rPr>
                <w:rFonts w:hint="eastAsia"/>
              </w:rPr>
              <w:t>集成电路（半导体）</w:t>
            </w:r>
          </w:p>
        </w:tc>
        <w:tc>
          <w:tcPr>
            <w:tcW w:w="1775" w:type="dxa"/>
          </w:tcPr>
          <w:p w14:paraId="11553E47">
            <w:r>
              <w:t>20</w:t>
            </w:r>
          </w:p>
        </w:tc>
        <w:tc>
          <w:tcPr>
            <w:tcW w:w="2338" w:type="dxa"/>
          </w:tcPr>
          <w:p w14:paraId="16799049">
            <w:r>
              <w:t>10</w:t>
            </w:r>
          </w:p>
        </w:tc>
        <w:tc>
          <w:tcPr>
            <w:tcW w:w="781" w:type="dxa"/>
          </w:tcPr>
          <w:p w14:paraId="1F81FED0">
            <w:r>
              <w:t>30</w:t>
            </w:r>
          </w:p>
        </w:tc>
      </w:tr>
      <w:tr w14:paraId="52C063CE">
        <w:tc>
          <w:tcPr>
            <w:tcW w:w="3410" w:type="dxa"/>
          </w:tcPr>
          <w:p w14:paraId="72F4D86E">
            <w:r>
              <w:rPr>
                <w:rFonts w:hint="eastAsia"/>
              </w:rPr>
              <w:t>新能源汽车及零部件</w:t>
            </w:r>
          </w:p>
        </w:tc>
        <w:tc>
          <w:tcPr>
            <w:tcW w:w="1775" w:type="dxa"/>
          </w:tcPr>
          <w:p w14:paraId="7A107FA8">
            <w:r>
              <w:t>20</w:t>
            </w:r>
          </w:p>
        </w:tc>
        <w:tc>
          <w:tcPr>
            <w:tcW w:w="2338" w:type="dxa"/>
          </w:tcPr>
          <w:p w14:paraId="633B1FF2">
            <w:r>
              <w:t>10</w:t>
            </w:r>
          </w:p>
        </w:tc>
        <w:tc>
          <w:tcPr>
            <w:tcW w:w="781" w:type="dxa"/>
          </w:tcPr>
          <w:p w14:paraId="685BBFB4">
            <w:r>
              <w:t>30</w:t>
            </w:r>
          </w:p>
        </w:tc>
      </w:tr>
      <w:tr w14:paraId="058B492C">
        <w:tc>
          <w:tcPr>
            <w:tcW w:w="3410" w:type="dxa"/>
          </w:tcPr>
          <w:p w14:paraId="451C3EBD">
            <w:r>
              <w:rPr>
                <w:rFonts w:hint="eastAsia"/>
              </w:rPr>
              <w:t>智能物联（智能装备/终端）</w:t>
            </w:r>
          </w:p>
        </w:tc>
        <w:tc>
          <w:tcPr>
            <w:tcW w:w="1775" w:type="dxa"/>
          </w:tcPr>
          <w:p w14:paraId="4DF1997F">
            <w:r>
              <w:t>20</w:t>
            </w:r>
          </w:p>
        </w:tc>
        <w:tc>
          <w:tcPr>
            <w:tcW w:w="2338" w:type="dxa"/>
          </w:tcPr>
          <w:p w14:paraId="34DD79B9">
            <w:r>
              <w:t>10</w:t>
            </w:r>
          </w:p>
        </w:tc>
        <w:tc>
          <w:tcPr>
            <w:tcW w:w="781" w:type="dxa"/>
          </w:tcPr>
          <w:p w14:paraId="3BBE9DE3">
            <w:r>
              <w:t>30</w:t>
            </w:r>
          </w:p>
        </w:tc>
      </w:tr>
      <w:tr w14:paraId="5DB62504">
        <w:tc>
          <w:tcPr>
            <w:tcW w:w="3410" w:type="dxa"/>
          </w:tcPr>
          <w:p w14:paraId="5B8E6CCA">
            <w:r>
              <w:rPr>
                <w:rFonts w:hint="eastAsia"/>
              </w:rPr>
              <w:t>新材料、航空航天等其他高端制造</w:t>
            </w:r>
          </w:p>
        </w:tc>
        <w:tc>
          <w:tcPr>
            <w:tcW w:w="1775" w:type="dxa"/>
          </w:tcPr>
          <w:p w14:paraId="426ED240">
            <w:r>
              <w:t>20</w:t>
            </w:r>
          </w:p>
        </w:tc>
        <w:tc>
          <w:tcPr>
            <w:tcW w:w="2338" w:type="dxa"/>
          </w:tcPr>
          <w:p w14:paraId="4949404E">
            <w:r>
              <w:t>10</w:t>
            </w:r>
          </w:p>
        </w:tc>
        <w:tc>
          <w:tcPr>
            <w:tcW w:w="781" w:type="dxa"/>
          </w:tcPr>
          <w:p w14:paraId="302C53CD">
            <w:r>
              <w:t>30</w:t>
            </w:r>
          </w:p>
        </w:tc>
      </w:tr>
      <w:tr w14:paraId="24A9FD1C">
        <w:tc>
          <w:tcPr>
            <w:tcW w:w="3410" w:type="dxa"/>
          </w:tcPr>
          <w:p w14:paraId="59699BD4">
            <w:r>
              <w:rPr>
                <w:rFonts w:hint="eastAsia"/>
                <w:b/>
              </w:rPr>
              <w:t>合计</w:t>
            </w:r>
          </w:p>
        </w:tc>
        <w:tc>
          <w:tcPr>
            <w:tcW w:w="1775" w:type="dxa"/>
          </w:tcPr>
          <w:p w14:paraId="62794364">
            <w:r>
              <w:rPr>
                <w:b/>
              </w:rPr>
              <w:t>100</w:t>
            </w:r>
          </w:p>
        </w:tc>
        <w:tc>
          <w:tcPr>
            <w:tcW w:w="2338" w:type="dxa"/>
          </w:tcPr>
          <w:p w14:paraId="691CF326">
            <w:r>
              <w:rPr>
                <w:b/>
              </w:rPr>
              <w:t>50</w:t>
            </w:r>
          </w:p>
        </w:tc>
        <w:tc>
          <w:tcPr>
            <w:tcW w:w="781" w:type="dxa"/>
          </w:tcPr>
          <w:p w14:paraId="727A88EA">
            <w:r>
              <w:rPr>
                <w:b/>
              </w:rPr>
              <w:t>150</w:t>
            </w:r>
          </w:p>
        </w:tc>
      </w:tr>
    </w:tbl>
    <w:p w14:paraId="0802F21B">
      <w:pPr>
        <w:ind w:firstLine="420" w:firstLineChars="200"/>
      </w:pPr>
      <w:r>
        <w:rPr>
          <w:rFonts w:hint="eastAsia"/>
        </w:rPr>
        <w:t>产业链位置配额建议为链主/龙头 15 家左右、一级配套 45 家左右、二级及以下配套 45 家左右、独立产品企业与平台服务商 45 家左右，与产业、规模分层交叉控制；实际配额结合企业名录结构微调。</w:t>
      </w:r>
    </w:p>
    <w:p w14:paraId="65907BE3">
      <w:pPr>
        <w:keepNext/>
        <w:keepLines/>
        <w:spacing w:before="100" w:beforeAutospacing="1" w:after="100" w:afterAutospacing="1"/>
        <w:outlineLvl w:val="1"/>
        <w:rPr>
          <w:sz w:val="32"/>
          <w:szCs w:val="32"/>
        </w:rPr>
      </w:pPr>
      <w:r>
        <w:rPr>
          <w:rFonts w:hint="eastAsia"/>
          <w:b/>
          <w:sz w:val="32"/>
        </w:rPr>
        <w:t>（三）问卷设计：结构与题项分布</w:t>
      </w:r>
    </w:p>
    <w:p w14:paraId="57C97433">
      <w:pPr>
        <w:ind w:firstLine="420" w:firstLineChars="200"/>
      </w:pPr>
      <w:r>
        <w:rPr>
          <w:rFonts w:hint="eastAsia"/>
        </w:rPr>
        <w:t>问卷主体共十个部分、53 题（线上版因条件显示题展开为 61 个作答单元），正常填写约需 15—20 分钟。问卷不涉及商业秘密的具体数值，所有信息匿名处理，数据仅用于学术研究和区级政策建议，不与任何执法、考核、评优挂钩。题项结构如下。</w:t>
      </w:r>
    </w:p>
    <w:p w14:paraId="342AFC3A">
      <w:pPr>
        <w:jc w:val="center"/>
      </w:pPr>
      <w:r>
        <w:rPr>
          <w:rFonts w:hint="eastAsia"/>
          <w:b/>
        </w:rPr>
        <w:t>表 6-2　问卷结构与题项分布</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1235"/>
        <w:gridCol w:w="1075"/>
        <w:gridCol w:w="638"/>
        <w:gridCol w:w="5356"/>
      </w:tblGrid>
      <w:tr w14:paraId="12226B07">
        <w:trPr>
          <w:tblHeader/>
        </w:trPr>
        <w:tc>
          <w:tcPr>
            <w:tcW w:w="1235" w:type="dxa"/>
          </w:tcPr>
          <w:p w14:paraId="3B021A70">
            <w:pPr>
              <w:rPr>
                <w:b/>
                <w:bCs/>
              </w:rPr>
            </w:pPr>
            <w:r>
              <w:rPr>
                <w:rFonts w:hint="eastAsia"/>
                <w:b/>
              </w:rPr>
              <w:t>部分</w:t>
            </w:r>
          </w:p>
        </w:tc>
        <w:tc>
          <w:tcPr>
            <w:tcW w:w="1075" w:type="dxa"/>
          </w:tcPr>
          <w:p w14:paraId="2263B836">
            <w:pPr>
              <w:rPr>
                <w:b/>
                <w:bCs/>
              </w:rPr>
            </w:pPr>
            <w:r>
              <w:rPr>
                <w:rFonts w:hint="eastAsia"/>
                <w:b/>
              </w:rPr>
              <w:t>题号</w:t>
            </w:r>
          </w:p>
        </w:tc>
        <w:tc>
          <w:tcPr>
            <w:tcW w:w="638" w:type="dxa"/>
          </w:tcPr>
          <w:p w14:paraId="294BDA04">
            <w:pPr>
              <w:rPr>
                <w:b/>
                <w:bCs/>
              </w:rPr>
            </w:pPr>
            <w:r>
              <w:rPr>
                <w:rFonts w:hint="eastAsia"/>
                <w:b/>
              </w:rPr>
              <w:t>题量</w:t>
            </w:r>
          </w:p>
        </w:tc>
        <w:tc>
          <w:tcPr>
            <w:tcW w:w="5356" w:type="dxa"/>
          </w:tcPr>
          <w:p w14:paraId="39AAF27A">
            <w:pPr>
              <w:rPr>
                <w:b/>
                <w:bCs/>
              </w:rPr>
            </w:pPr>
            <w:r>
              <w:rPr>
                <w:rFonts w:hint="eastAsia"/>
                <w:b/>
              </w:rPr>
              <w:t>主要内容与题型</w:t>
            </w:r>
          </w:p>
        </w:tc>
      </w:tr>
      <w:tr w14:paraId="001E540E">
        <w:tc>
          <w:tcPr>
            <w:tcW w:w="1235" w:type="dxa"/>
          </w:tcPr>
          <w:p w14:paraId="5259B1A3">
            <w:r>
              <w:rPr>
                <w:rFonts w:hint="eastAsia"/>
              </w:rPr>
              <w:t>第一部分 企业基本情况</w:t>
            </w:r>
          </w:p>
        </w:tc>
        <w:tc>
          <w:tcPr>
            <w:tcW w:w="1075" w:type="dxa"/>
          </w:tcPr>
          <w:p w14:paraId="40DEF6D7">
            <w:r>
              <w:t>Q1—Q10</w:t>
            </w:r>
          </w:p>
        </w:tc>
        <w:tc>
          <w:tcPr>
            <w:tcW w:w="638" w:type="dxa"/>
          </w:tcPr>
          <w:p w14:paraId="47FF68D1">
            <w:r>
              <w:t>10</w:t>
            </w:r>
          </w:p>
        </w:tc>
        <w:tc>
          <w:tcPr>
            <w:tcW w:w="5356" w:type="dxa"/>
          </w:tcPr>
          <w:p w14:paraId="324D685C">
            <w:r>
              <w:rPr>
                <w:rFonts w:hint="eastAsia"/>
              </w:rPr>
              <w:t>企业名称（选填）、所属产业领域、价值链环节、产业链角色、成立年限、登记注册类型、营业收入、从业人员、资质认定、所在园区平台；以单选题为主，部分多选</w:t>
            </w:r>
          </w:p>
        </w:tc>
      </w:tr>
      <w:tr w14:paraId="291330AF">
        <w:tc>
          <w:tcPr>
            <w:tcW w:w="1235" w:type="dxa"/>
          </w:tcPr>
          <w:p w14:paraId="15CFE044">
            <w:r>
              <w:rPr>
                <w:rFonts w:hint="eastAsia"/>
              </w:rPr>
              <w:t>第二部分 数字化基础与投入</w:t>
            </w:r>
          </w:p>
        </w:tc>
        <w:tc>
          <w:tcPr>
            <w:tcW w:w="1075" w:type="dxa"/>
          </w:tcPr>
          <w:p w14:paraId="05E6B8D6">
            <w:r>
              <w:t>Q11—Q19</w:t>
            </w:r>
          </w:p>
        </w:tc>
        <w:tc>
          <w:tcPr>
            <w:tcW w:w="638" w:type="dxa"/>
          </w:tcPr>
          <w:p w14:paraId="604CEA52">
            <w:r>
              <w:t>9</w:t>
            </w:r>
          </w:p>
        </w:tc>
        <w:tc>
          <w:tcPr>
            <w:tcW w:w="5356" w:type="dxa"/>
          </w:tcPr>
          <w:p w14:paraId="052C7C78">
            <w:r>
              <w:rPr>
                <w:rFonts w:hint="eastAsia"/>
              </w:rPr>
              <w:t>设备数控化率与联网率、已部署系统与工具、上云阶段、数字化组织设置、转型总体阶段、近三年累计投入规模、投入占营收比重、投入方向、资金来源</w:t>
            </w:r>
          </w:p>
        </w:tc>
      </w:tr>
      <w:tr w14:paraId="20A1086E">
        <w:tc>
          <w:tcPr>
            <w:tcW w:w="1235" w:type="dxa"/>
          </w:tcPr>
          <w:p w14:paraId="2C3CAD5D">
            <w:r>
              <w:rPr>
                <w:rFonts w:hint="eastAsia"/>
              </w:rPr>
              <w:t>第三部分 融合场景应用</w:t>
            </w:r>
          </w:p>
        </w:tc>
        <w:tc>
          <w:tcPr>
            <w:tcW w:w="1075" w:type="dxa"/>
          </w:tcPr>
          <w:p w14:paraId="5C0614E5">
            <w:r>
              <w:t>Q20—Q22</w:t>
            </w:r>
          </w:p>
        </w:tc>
        <w:tc>
          <w:tcPr>
            <w:tcW w:w="638" w:type="dxa"/>
          </w:tcPr>
          <w:p w14:paraId="3759E2E7">
            <w:r>
              <w:t>3</w:t>
            </w:r>
          </w:p>
        </w:tc>
        <w:tc>
          <w:tcPr>
            <w:tcW w:w="5356" w:type="dxa"/>
          </w:tcPr>
          <w:p w14:paraId="78FE11B0">
            <w:r>
              <w:rPr>
                <w:rFonts w:hint="eastAsia"/>
              </w:rPr>
              <w:t>九个环节数字化应用程度（矩阵单选，1—5）、已产生明显经济效益的场景与投资回收期、未来两年优先布局场景</w:t>
            </w:r>
          </w:p>
        </w:tc>
      </w:tr>
      <w:tr w14:paraId="733BAE68">
        <w:tc>
          <w:tcPr>
            <w:tcW w:w="1235" w:type="dxa"/>
          </w:tcPr>
          <w:p w14:paraId="1F0E2EC7">
            <w:r>
              <w:rPr>
                <w:rFonts w:hint="eastAsia"/>
              </w:rPr>
              <w:t>第四部分 数据要素激活</w:t>
            </w:r>
          </w:p>
        </w:tc>
        <w:tc>
          <w:tcPr>
            <w:tcW w:w="1075" w:type="dxa"/>
          </w:tcPr>
          <w:p w14:paraId="0FF0F7B3">
            <w:r>
              <w:t>Q23—Q27</w:t>
            </w:r>
          </w:p>
        </w:tc>
        <w:tc>
          <w:tcPr>
            <w:tcW w:w="638" w:type="dxa"/>
          </w:tcPr>
          <w:p w14:paraId="6AACAFD8">
            <w:r>
              <w:t>5</w:t>
            </w:r>
          </w:p>
        </w:tc>
        <w:tc>
          <w:tcPr>
            <w:tcW w:w="5356" w:type="dxa"/>
          </w:tcPr>
          <w:p w14:paraId="0FAFBBC1">
            <w:r>
              <w:rPr>
                <w:rFonts w:hint="eastAsia"/>
              </w:rPr>
              <w:t>数据管理现状、数据应用方向、与链主/供应商/平台/政府的数据交换程度（矩阵单选，1—5）、共享顾虑、对公共数据开放与可信数据空间的需求</w:t>
            </w:r>
          </w:p>
        </w:tc>
      </w:tr>
      <w:tr w14:paraId="0DFCBB38">
        <w:tc>
          <w:tcPr>
            <w:tcW w:w="1235" w:type="dxa"/>
          </w:tcPr>
          <w:p w14:paraId="56DE8AEA">
            <w:r>
              <w:rPr>
                <w:rFonts w:hint="eastAsia"/>
              </w:rPr>
              <w:t>第五部分 企业能力重构</w:t>
            </w:r>
          </w:p>
        </w:tc>
        <w:tc>
          <w:tcPr>
            <w:tcW w:w="1075" w:type="dxa"/>
          </w:tcPr>
          <w:p w14:paraId="46D5C264">
            <w:r>
              <w:t>Q28—Q32</w:t>
            </w:r>
          </w:p>
        </w:tc>
        <w:tc>
          <w:tcPr>
            <w:tcW w:w="638" w:type="dxa"/>
          </w:tcPr>
          <w:p w14:paraId="20703118">
            <w:r>
              <w:t>5</w:t>
            </w:r>
          </w:p>
        </w:tc>
        <w:tc>
          <w:tcPr>
            <w:tcW w:w="5356" w:type="dxa"/>
          </w:tcPr>
          <w:p w14:paraId="62DCC6DB">
            <w:r>
              <w:rPr>
                <w:rFonts w:hint="eastAsia"/>
              </w:rPr>
              <w:t>数字化人员占比、培训覆盖面、组织变革、服务化与商业模式创新成熟度（矩阵单选，1—5）、转型主要推动力量</w:t>
            </w:r>
          </w:p>
        </w:tc>
      </w:tr>
      <w:tr w14:paraId="5B51C674">
        <w:tc>
          <w:tcPr>
            <w:tcW w:w="1235" w:type="dxa"/>
          </w:tcPr>
          <w:p w14:paraId="455F05D2">
            <w:r>
              <w:rPr>
                <w:rFonts w:hint="eastAsia"/>
              </w:rPr>
              <w:t>第六部分 产业链与集群协同</w:t>
            </w:r>
          </w:p>
        </w:tc>
        <w:tc>
          <w:tcPr>
            <w:tcW w:w="1075" w:type="dxa"/>
          </w:tcPr>
          <w:p w14:paraId="7559725F">
            <w:r>
              <w:t>Q33—Q37</w:t>
            </w:r>
          </w:p>
        </w:tc>
        <w:tc>
          <w:tcPr>
            <w:tcW w:w="638" w:type="dxa"/>
          </w:tcPr>
          <w:p w14:paraId="50BDC56C">
            <w:r>
              <w:t>5</w:t>
            </w:r>
          </w:p>
        </w:tc>
        <w:tc>
          <w:tcPr>
            <w:tcW w:w="5356" w:type="dxa"/>
          </w:tcPr>
          <w:p w14:paraId="69E272E3">
            <w:r>
              <w:rPr>
                <w:rFonts w:hint="eastAsia"/>
              </w:rPr>
              <w:t>平台接入情况、链主带动方式、上下游数据协同程度、公共/共享服务使用、协同障碍</w:t>
            </w:r>
          </w:p>
        </w:tc>
      </w:tr>
      <w:tr w14:paraId="7CADC1CC">
        <w:tc>
          <w:tcPr>
            <w:tcW w:w="1235" w:type="dxa"/>
          </w:tcPr>
          <w:p w14:paraId="0EE6ADCA">
            <w:r>
              <w:rPr>
                <w:rFonts w:hint="eastAsia"/>
              </w:rPr>
              <w:t>第七部分 转型堵点诊断</w:t>
            </w:r>
          </w:p>
        </w:tc>
        <w:tc>
          <w:tcPr>
            <w:tcW w:w="1075" w:type="dxa"/>
          </w:tcPr>
          <w:p w14:paraId="3ECF565C">
            <w:r>
              <w:t>Q38—Q40</w:t>
            </w:r>
          </w:p>
        </w:tc>
        <w:tc>
          <w:tcPr>
            <w:tcW w:w="638" w:type="dxa"/>
          </w:tcPr>
          <w:p w14:paraId="1BB7EC4F">
            <w:r>
              <w:t>3</w:t>
            </w:r>
          </w:p>
        </w:tc>
        <w:tc>
          <w:tcPr>
            <w:tcW w:w="5356" w:type="dxa"/>
          </w:tcPr>
          <w:p w14:paraId="42706077">
            <w:r>
              <w:rPr>
                <w:rFonts w:hint="eastAsia"/>
              </w:rPr>
              <w:t>六类堵点严重程度（矩阵单选，1—5）、最突出三类堵点排序、"不会转、不敢转、不能转"的具体表现</w:t>
            </w:r>
          </w:p>
        </w:tc>
      </w:tr>
      <w:tr w14:paraId="099B81B4">
        <w:tc>
          <w:tcPr>
            <w:tcW w:w="1235" w:type="dxa"/>
          </w:tcPr>
          <w:p w14:paraId="6255B15F">
            <w:r>
              <w:rPr>
                <w:rFonts w:hint="eastAsia"/>
              </w:rPr>
              <w:t>第八部分 政策获得感与政策需求</w:t>
            </w:r>
          </w:p>
        </w:tc>
        <w:tc>
          <w:tcPr>
            <w:tcW w:w="1075" w:type="dxa"/>
          </w:tcPr>
          <w:p w14:paraId="125F0AC4">
            <w:r>
              <w:t>Q41—Q46</w:t>
            </w:r>
          </w:p>
        </w:tc>
        <w:tc>
          <w:tcPr>
            <w:tcW w:w="638" w:type="dxa"/>
          </w:tcPr>
          <w:p w14:paraId="4CE6AB41">
            <w:r>
              <w:t>6</w:t>
            </w:r>
          </w:p>
        </w:tc>
        <w:tc>
          <w:tcPr>
            <w:tcW w:w="5356" w:type="dxa"/>
          </w:tcPr>
          <w:p w14:paraId="2E958657">
            <w:r>
              <w:rPr>
                <w:rFonts w:hint="eastAsia"/>
              </w:rPr>
              <w:t>政策知晓程度与渠道、近三年享受政策、政策感受评价（矩阵单选，0—5）、未享受原因、最需要的外部支持（限选并按迫切度排序）、对闭环服务的需求</w:t>
            </w:r>
          </w:p>
        </w:tc>
      </w:tr>
      <w:tr w14:paraId="47B0238E">
        <w:tc>
          <w:tcPr>
            <w:tcW w:w="1235" w:type="dxa"/>
          </w:tcPr>
          <w:p w14:paraId="7794877D">
            <w:r>
              <w:rPr>
                <w:rFonts w:hint="eastAsia"/>
              </w:rPr>
              <w:t>第九部分 融合创新绩效</w:t>
            </w:r>
          </w:p>
        </w:tc>
        <w:tc>
          <w:tcPr>
            <w:tcW w:w="1075" w:type="dxa"/>
          </w:tcPr>
          <w:p w14:paraId="679FDEF0">
            <w:r>
              <w:t>Q47—Q50</w:t>
            </w:r>
          </w:p>
        </w:tc>
        <w:tc>
          <w:tcPr>
            <w:tcW w:w="638" w:type="dxa"/>
          </w:tcPr>
          <w:p w14:paraId="412746BB">
            <w:r>
              <w:t>4</w:t>
            </w:r>
          </w:p>
        </w:tc>
        <w:tc>
          <w:tcPr>
            <w:tcW w:w="5356" w:type="dxa"/>
          </w:tcPr>
          <w:p w14:paraId="4F2E5ADA">
            <w:r>
              <w:rPr>
                <w:rFonts w:hint="eastAsia"/>
              </w:rPr>
              <w:t>九项指标改善程度（矩阵单选，1—5，含逆向指标）、新产品收入占比与年度降本增效金额、转型成效总体打分（1—10）、与预期比较</w:t>
            </w:r>
          </w:p>
        </w:tc>
      </w:tr>
      <w:tr w14:paraId="321EA860">
        <w:tc>
          <w:tcPr>
            <w:tcW w:w="1235" w:type="dxa"/>
          </w:tcPr>
          <w:p w14:paraId="76A755D6">
            <w:r>
              <w:rPr>
                <w:rFonts w:hint="eastAsia"/>
              </w:rPr>
              <w:t>第十部分 开放性问题</w:t>
            </w:r>
          </w:p>
        </w:tc>
        <w:tc>
          <w:tcPr>
            <w:tcW w:w="1075" w:type="dxa"/>
          </w:tcPr>
          <w:p w14:paraId="669F8D68">
            <w:r>
              <w:t>Q51—Q53</w:t>
            </w:r>
          </w:p>
        </w:tc>
        <w:tc>
          <w:tcPr>
            <w:tcW w:w="638" w:type="dxa"/>
          </w:tcPr>
          <w:p w14:paraId="43C7355D">
            <w:r>
              <w:t>3</w:t>
            </w:r>
          </w:p>
        </w:tc>
        <w:tc>
          <w:tcPr>
            <w:tcW w:w="5356" w:type="dxa"/>
          </w:tcPr>
          <w:p w14:paraId="39024D1D">
            <w:r>
              <w:rPr>
                <w:rFonts w:hint="eastAsia"/>
              </w:rPr>
              <w:t>最成功的应用场景、最需政府帮助解决的问题、对钱塘区融合创新政策的建议；均为选答</w:t>
            </w:r>
          </w:p>
        </w:tc>
      </w:tr>
      <w:tr w14:paraId="35A40098">
        <w:tc>
          <w:tcPr>
            <w:tcW w:w="1235" w:type="dxa"/>
          </w:tcPr>
          <w:p w14:paraId="0B792959">
            <w:r>
              <w:rPr>
                <w:rFonts w:hint="eastAsia"/>
              </w:rPr>
              <w:t>填答人信息</w:t>
            </w:r>
          </w:p>
        </w:tc>
        <w:tc>
          <w:tcPr>
            <w:tcW w:w="1075" w:type="dxa"/>
          </w:tcPr>
          <w:p w14:paraId="64A255B4">
            <w:r>
              <w:t>—</w:t>
            </w:r>
          </w:p>
        </w:tc>
        <w:tc>
          <w:tcPr>
            <w:tcW w:w="638" w:type="dxa"/>
          </w:tcPr>
          <w:p w14:paraId="5E05C1F0">
            <w:r>
              <w:t>—</w:t>
            </w:r>
          </w:p>
        </w:tc>
        <w:tc>
          <w:tcPr>
            <w:tcW w:w="5356" w:type="dxa"/>
          </w:tcPr>
          <w:p w14:paraId="0726D3E7">
            <w:r>
              <w:rPr>
                <w:rFonts w:hint="eastAsia"/>
              </w:rPr>
              <w:t>姓名、职务、联系电话、填写日期（选填，仅用于必要时回访核实）</w:t>
            </w:r>
          </w:p>
        </w:tc>
      </w:tr>
    </w:tbl>
    <w:p w14:paraId="515DF95A">
      <w:pPr>
        <w:ind w:firstLine="420" w:firstLineChars="200"/>
      </w:pPr>
      <w:r>
        <w:rPr>
          <w:rFonts w:hint="eastAsia"/>
          <w:b/>
        </w:rPr>
        <w:t>填答控制要点：</w:t>
      </w:r>
      <w:r>
        <w:rPr>
          <w:rFonts w:hint="eastAsia"/>
        </w:rPr>
        <w:t>① 单选题在"○"中打"√"，多选题在"□"中打"√"，填空题填数值或文字；② 标注"可多选"的选项数量不限，标注"最多选×项"的不得超出；③ 量表题中数字 1—5 代表由低到高的程度；④ 问卷所称"数字化转型"指企业运用数字技术、数据要素和智能装备，对研发、生产、管理、营销和服务进行系统性改造的过程；⑤ 若某题确不适用，可选"不适用/不清楚"，不必勉强估算；⑥ 矩阵单选题用于替代"多选＋排序"，减少作答负担并保证数据结构化。</w:t>
      </w:r>
    </w:p>
    <w:p w14:paraId="1897A7E8">
      <w:pPr>
        <w:ind w:firstLine="420" w:firstLineChars="200"/>
      </w:pPr>
      <w:r>
        <w:rPr>
          <w:rFonts w:hint="eastAsia"/>
          <w:b/>
        </w:rPr>
        <w:t>线上化实施情况：</w:t>
      </w:r>
      <w:r>
        <w:rPr>
          <w:rFonts w:hint="eastAsia"/>
        </w:rPr>
        <w:t>问卷已在腾讯问卷平台发布并启用匿名、免登录、不记录 IP 的设置；对"其他行业（请注明）"等选项配置了条件显示逻辑，勾选后自动弹出文字输入框，便于收集一手素材；填答日期由日期时间题自动记录。</w:t>
      </w:r>
    </w:p>
    <w:p w14:paraId="5AA97E0D">
      <w:pPr>
        <w:keepNext/>
        <w:keepLines/>
        <w:spacing w:before="100" w:beforeAutospacing="1" w:after="100" w:afterAutospacing="1"/>
        <w:outlineLvl w:val="1"/>
        <w:rPr>
          <w:sz w:val="32"/>
          <w:szCs w:val="32"/>
        </w:rPr>
      </w:pPr>
      <w:r>
        <w:rPr>
          <w:rFonts w:hint="eastAsia"/>
          <w:b/>
          <w:sz w:val="32"/>
        </w:rPr>
        <w:t>（四）核心变量编码与分析框架对应关系</w:t>
      </w:r>
    </w:p>
    <w:p w14:paraId="771D76C8">
      <w:pPr>
        <w:ind w:firstLine="420" w:firstLineChars="200"/>
      </w:pPr>
      <w:r>
        <w:rPr>
          <w:rFonts w:hint="eastAsia"/>
        </w:rPr>
        <w:t>为便于统计分析，问卷题项统一以 Q 编号作为变量名：单选题按选项顺序编码为 1、2、3……；多选题采用二分法（0/1）按选项拆分为多个变量；量表题直接取 1—5（或 0—5）整数；填空题以数值型变量录入。</w:t>
      </w:r>
    </w:p>
    <w:p w14:paraId="4DF751D8">
      <w:pPr>
        <w:jc w:val="center"/>
      </w:pPr>
      <w:r>
        <w:rPr>
          <w:rFonts w:hint="eastAsia"/>
          <w:b/>
        </w:rPr>
        <w:t>表 6-3　核心变量编码与分析框架对应表</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1223"/>
        <w:gridCol w:w="987"/>
        <w:gridCol w:w="1488"/>
        <w:gridCol w:w="2075"/>
        <w:gridCol w:w="2532"/>
      </w:tblGrid>
      <w:tr w14:paraId="2EDF4DBC">
        <w:trPr>
          <w:tblHeader/>
        </w:trPr>
        <w:tc>
          <w:tcPr>
            <w:tcW w:w="1223" w:type="dxa"/>
          </w:tcPr>
          <w:p w14:paraId="66EF1A60">
            <w:pPr>
              <w:rPr>
                <w:b/>
                <w:bCs/>
              </w:rPr>
            </w:pPr>
            <w:r>
              <w:rPr>
                <w:rFonts w:hint="eastAsia"/>
                <w:b/>
              </w:rPr>
              <w:t>变量组</w:t>
            </w:r>
          </w:p>
        </w:tc>
        <w:tc>
          <w:tcPr>
            <w:tcW w:w="987" w:type="dxa"/>
          </w:tcPr>
          <w:p w14:paraId="38106139">
            <w:pPr>
              <w:rPr>
                <w:b/>
                <w:bCs/>
              </w:rPr>
            </w:pPr>
            <w:r>
              <w:rPr>
                <w:rFonts w:hint="eastAsia"/>
                <w:b/>
              </w:rPr>
              <w:t>对应题号</w:t>
            </w:r>
          </w:p>
        </w:tc>
        <w:tc>
          <w:tcPr>
            <w:tcW w:w="1488" w:type="dxa"/>
          </w:tcPr>
          <w:p w14:paraId="734EC412">
            <w:pPr>
              <w:rPr>
                <w:b/>
                <w:bCs/>
              </w:rPr>
            </w:pPr>
            <w:r>
              <w:rPr>
                <w:rFonts w:hint="eastAsia"/>
                <w:b/>
              </w:rPr>
              <w:t>变量类型</w:t>
            </w:r>
          </w:p>
        </w:tc>
        <w:tc>
          <w:tcPr>
            <w:tcW w:w="2075" w:type="dxa"/>
          </w:tcPr>
          <w:p w14:paraId="20B94B8F">
            <w:pPr>
              <w:rPr>
                <w:b/>
                <w:bCs/>
              </w:rPr>
            </w:pPr>
            <w:r>
              <w:rPr>
                <w:rFonts w:hint="eastAsia"/>
                <w:b/>
              </w:rPr>
              <w:t>取值/量表</w:t>
            </w:r>
          </w:p>
        </w:tc>
        <w:tc>
          <w:tcPr>
            <w:tcW w:w="2532" w:type="dxa"/>
          </w:tcPr>
          <w:p w14:paraId="36F0638B">
            <w:pPr>
              <w:rPr>
                <w:b/>
                <w:bCs/>
              </w:rPr>
            </w:pPr>
            <w:r>
              <w:rPr>
                <w:rFonts w:hint="eastAsia"/>
                <w:b/>
              </w:rPr>
              <w:t>对应研究内容</w:t>
            </w:r>
          </w:p>
        </w:tc>
      </w:tr>
      <w:tr w14:paraId="1CB683E3">
        <w:tc>
          <w:tcPr>
            <w:tcW w:w="1223" w:type="dxa"/>
          </w:tcPr>
          <w:p w14:paraId="26E23817">
            <w:r>
              <w:rPr>
                <w:rFonts w:hint="eastAsia"/>
              </w:rPr>
              <w:t>分层控制变量</w:t>
            </w:r>
          </w:p>
        </w:tc>
        <w:tc>
          <w:tcPr>
            <w:tcW w:w="987" w:type="dxa"/>
          </w:tcPr>
          <w:p w14:paraId="342BFCE3">
            <w:r>
              <w:t>Q2—Q10</w:t>
            </w:r>
          </w:p>
        </w:tc>
        <w:tc>
          <w:tcPr>
            <w:tcW w:w="1488" w:type="dxa"/>
          </w:tcPr>
          <w:p w14:paraId="69BB557E">
            <w:r>
              <w:rPr>
                <w:rFonts w:hint="eastAsia"/>
              </w:rPr>
              <w:t>分类/定序</w:t>
            </w:r>
          </w:p>
        </w:tc>
        <w:tc>
          <w:tcPr>
            <w:tcW w:w="2075" w:type="dxa"/>
          </w:tcPr>
          <w:p w14:paraId="5D354DC8">
            <w:r>
              <w:rPr>
                <w:rFonts w:hint="eastAsia"/>
              </w:rPr>
              <w:t>按选项编码</w:t>
            </w:r>
          </w:p>
        </w:tc>
        <w:tc>
          <w:tcPr>
            <w:tcW w:w="2532" w:type="dxa"/>
          </w:tcPr>
          <w:p w14:paraId="00CCB6D1">
            <w:r>
              <w:rPr>
                <w:rFonts w:hint="eastAsia"/>
              </w:rPr>
              <w:t>产业、规模、链位异质性分析</w:t>
            </w:r>
          </w:p>
        </w:tc>
      </w:tr>
      <w:tr w14:paraId="16022ACE">
        <w:tc>
          <w:tcPr>
            <w:tcW w:w="1223" w:type="dxa"/>
          </w:tcPr>
          <w:p w14:paraId="73670060">
            <w:r>
              <w:rPr>
                <w:rFonts w:hint="eastAsia"/>
              </w:rPr>
              <w:t>数字化投入与能力</w:t>
            </w:r>
          </w:p>
        </w:tc>
        <w:tc>
          <w:tcPr>
            <w:tcW w:w="987" w:type="dxa"/>
          </w:tcPr>
          <w:p w14:paraId="636F57F2">
            <w:r>
              <w:t>Q11—Q19</w:t>
            </w:r>
          </w:p>
        </w:tc>
        <w:tc>
          <w:tcPr>
            <w:tcW w:w="1488" w:type="dxa"/>
          </w:tcPr>
          <w:p w14:paraId="0D597707">
            <w:r>
              <w:rPr>
                <w:rFonts w:hint="eastAsia"/>
              </w:rPr>
              <w:t>定序/数值/多选</w:t>
            </w:r>
          </w:p>
        </w:tc>
        <w:tc>
          <w:tcPr>
            <w:tcW w:w="2075" w:type="dxa"/>
          </w:tcPr>
          <w:p w14:paraId="564AD47E">
            <w:r>
              <w:rPr>
                <w:rFonts w:hint="eastAsia"/>
              </w:rPr>
              <w:t>比率区间、百分比、0/1</w:t>
            </w:r>
          </w:p>
        </w:tc>
        <w:tc>
          <w:tcPr>
            <w:tcW w:w="2532" w:type="dxa"/>
          </w:tcPr>
          <w:p w14:paraId="55626074">
            <w:r>
              <w:rPr>
                <w:rFonts w:hint="eastAsia"/>
              </w:rPr>
              <w:t>投入能力维度、企业能力重构机制</w:t>
            </w:r>
          </w:p>
        </w:tc>
      </w:tr>
      <w:tr w14:paraId="6F12C930">
        <w:tc>
          <w:tcPr>
            <w:tcW w:w="1223" w:type="dxa"/>
          </w:tcPr>
          <w:p w14:paraId="09E2E0C9">
            <w:r>
              <w:rPr>
                <w:rFonts w:hint="eastAsia"/>
              </w:rPr>
              <w:t>场景应用</w:t>
            </w:r>
          </w:p>
        </w:tc>
        <w:tc>
          <w:tcPr>
            <w:tcW w:w="987" w:type="dxa"/>
          </w:tcPr>
          <w:p w14:paraId="39CDE87D">
            <w:r>
              <w:t>Q20—Q22</w:t>
            </w:r>
          </w:p>
        </w:tc>
        <w:tc>
          <w:tcPr>
            <w:tcW w:w="1488" w:type="dxa"/>
          </w:tcPr>
          <w:p w14:paraId="4B10DBDC">
            <w:r>
              <w:rPr>
                <w:rFonts w:hint="eastAsia"/>
              </w:rPr>
              <w:t>量表/多选/数值</w:t>
            </w:r>
          </w:p>
        </w:tc>
        <w:tc>
          <w:tcPr>
            <w:tcW w:w="2075" w:type="dxa"/>
          </w:tcPr>
          <w:p w14:paraId="37779AA7">
            <w:r>
              <w:rPr>
                <w:rFonts w:hint="eastAsia"/>
              </w:rPr>
              <w:t>1—5、回收期月数</w:t>
            </w:r>
          </w:p>
        </w:tc>
        <w:tc>
          <w:tcPr>
            <w:tcW w:w="2532" w:type="dxa"/>
          </w:tcPr>
          <w:p w14:paraId="1C26FD79">
            <w:r>
              <w:rPr>
                <w:rFonts w:hint="eastAsia"/>
              </w:rPr>
              <w:t>场景地图与场景优先级</w:t>
            </w:r>
          </w:p>
        </w:tc>
      </w:tr>
      <w:tr w14:paraId="2C87E990">
        <w:tc>
          <w:tcPr>
            <w:tcW w:w="1223" w:type="dxa"/>
          </w:tcPr>
          <w:p w14:paraId="0CDDA50D">
            <w:r>
              <w:rPr>
                <w:rFonts w:hint="eastAsia"/>
              </w:rPr>
              <w:t>数据要素激活</w:t>
            </w:r>
          </w:p>
        </w:tc>
        <w:tc>
          <w:tcPr>
            <w:tcW w:w="987" w:type="dxa"/>
          </w:tcPr>
          <w:p w14:paraId="3CDAAE96">
            <w:r>
              <w:t>Q23—Q27</w:t>
            </w:r>
          </w:p>
        </w:tc>
        <w:tc>
          <w:tcPr>
            <w:tcW w:w="1488" w:type="dxa"/>
          </w:tcPr>
          <w:p w14:paraId="115B54E5">
            <w:r>
              <w:rPr>
                <w:rFonts w:hint="eastAsia"/>
              </w:rPr>
              <w:t>量表/多选</w:t>
            </w:r>
          </w:p>
        </w:tc>
        <w:tc>
          <w:tcPr>
            <w:tcW w:w="2075" w:type="dxa"/>
          </w:tcPr>
          <w:p w14:paraId="015B0F6D">
            <w:r>
              <w:rPr>
                <w:rFonts w:hint="eastAsia"/>
              </w:rPr>
              <w:t>1—5、0/1</w:t>
            </w:r>
          </w:p>
        </w:tc>
        <w:tc>
          <w:tcPr>
            <w:tcW w:w="2532" w:type="dxa"/>
          </w:tcPr>
          <w:p w14:paraId="6EBAAF43">
            <w:r>
              <w:rPr>
                <w:rFonts w:hint="eastAsia"/>
              </w:rPr>
              <w:t>机制一：数据要素激活</w:t>
            </w:r>
          </w:p>
        </w:tc>
      </w:tr>
      <w:tr w14:paraId="04F843B3">
        <w:tc>
          <w:tcPr>
            <w:tcW w:w="1223" w:type="dxa"/>
          </w:tcPr>
          <w:p w14:paraId="1EA914D7">
            <w:r>
              <w:rPr>
                <w:rFonts w:hint="eastAsia"/>
              </w:rPr>
              <w:t>企业能力重构</w:t>
            </w:r>
          </w:p>
        </w:tc>
        <w:tc>
          <w:tcPr>
            <w:tcW w:w="987" w:type="dxa"/>
          </w:tcPr>
          <w:p w14:paraId="0EACFC5B">
            <w:r>
              <w:t>Q28—Q32</w:t>
            </w:r>
          </w:p>
        </w:tc>
        <w:tc>
          <w:tcPr>
            <w:tcW w:w="1488" w:type="dxa"/>
          </w:tcPr>
          <w:p w14:paraId="585FE9F8">
            <w:r>
              <w:rPr>
                <w:rFonts w:hint="eastAsia"/>
              </w:rPr>
              <w:t>定序/量表/多选</w:t>
            </w:r>
          </w:p>
        </w:tc>
        <w:tc>
          <w:tcPr>
            <w:tcW w:w="2075" w:type="dxa"/>
          </w:tcPr>
          <w:p w14:paraId="6A6E1A19">
            <w:r>
              <w:rPr>
                <w:rFonts w:hint="eastAsia"/>
              </w:rPr>
              <w:t>1—5、占比区间</w:t>
            </w:r>
          </w:p>
        </w:tc>
        <w:tc>
          <w:tcPr>
            <w:tcW w:w="2532" w:type="dxa"/>
          </w:tcPr>
          <w:p w14:paraId="77B1FC0B">
            <w:r>
              <w:rPr>
                <w:rFonts w:hint="eastAsia"/>
              </w:rPr>
              <w:t>机制三：企业能力重构</w:t>
            </w:r>
          </w:p>
        </w:tc>
      </w:tr>
      <w:tr w14:paraId="13FB8C73">
        <w:tc>
          <w:tcPr>
            <w:tcW w:w="1223" w:type="dxa"/>
          </w:tcPr>
          <w:p w14:paraId="24305BBC">
            <w:r>
              <w:rPr>
                <w:rFonts w:hint="eastAsia"/>
              </w:rPr>
              <w:t>链群协同</w:t>
            </w:r>
          </w:p>
        </w:tc>
        <w:tc>
          <w:tcPr>
            <w:tcW w:w="987" w:type="dxa"/>
          </w:tcPr>
          <w:p w14:paraId="54227422">
            <w:r>
              <w:t>Q33—Q37</w:t>
            </w:r>
          </w:p>
        </w:tc>
        <w:tc>
          <w:tcPr>
            <w:tcW w:w="1488" w:type="dxa"/>
          </w:tcPr>
          <w:p w14:paraId="08A21CB4">
            <w:r>
              <w:rPr>
                <w:rFonts w:hint="eastAsia"/>
              </w:rPr>
              <w:t>量表/多选</w:t>
            </w:r>
          </w:p>
        </w:tc>
        <w:tc>
          <w:tcPr>
            <w:tcW w:w="2075" w:type="dxa"/>
          </w:tcPr>
          <w:p w14:paraId="38B4E43A">
            <w:r>
              <w:rPr>
                <w:rFonts w:hint="eastAsia"/>
              </w:rPr>
              <w:t>1—5、0/1</w:t>
            </w:r>
          </w:p>
        </w:tc>
        <w:tc>
          <w:tcPr>
            <w:tcW w:w="2532" w:type="dxa"/>
          </w:tcPr>
          <w:p w14:paraId="4A91C9DF">
            <w:r>
              <w:rPr>
                <w:rFonts w:hint="eastAsia"/>
              </w:rPr>
              <w:t>机制四：链群协同</w:t>
            </w:r>
          </w:p>
        </w:tc>
      </w:tr>
      <w:tr w14:paraId="38C28D22">
        <w:tc>
          <w:tcPr>
            <w:tcW w:w="1223" w:type="dxa"/>
          </w:tcPr>
          <w:p w14:paraId="3F10482C">
            <w:r>
              <w:rPr>
                <w:rFonts w:hint="eastAsia"/>
              </w:rPr>
              <w:t>堵点诊断</w:t>
            </w:r>
          </w:p>
        </w:tc>
        <w:tc>
          <w:tcPr>
            <w:tcW w:w="987" w:type="dxa"/>
          </w:tcPr>
          <w:p w14:paraId="28E610A6">
            <w:r>
              <w:t>Q38—Q40</w:t>
            </w:r>
          </w:p>
        </w:tc>
        <w:tc>
          <w:tcPr>
            <w:tcW w:w="1488" w:type="dxa"/>
          </w:tcPr>
          <w:p w14:paraId="7F078673">
            <w:r>
              <w:rPr>
                <w:rFonts w:hint="eastAsia"/>
              </w:rPr>
              <w:t>量表/排序/多选</w:t>
            </w:r>
          </w:p>
        </w:tc>
        <w:tc>
          <w:tcPr>
            <w:tcW w:w="2075" w:type="dxa"/>
          </w:tcPr>
          <w:p w14:paraId="0D293780">
            <w:r>
              <w:rPr>
                <w:rFonts w:hint="eastAsia"/>
              </w:rPr>
              <w:t>1—5、排序序号</w:t>
            </w:r>
          </w:p>
        </w:tc>
        <w:tc>
          <w:tcPr>
            <w:tcW w:w="2532" w:type="dxa"/>
          </w:tcPr>
          <w:p w14:paraId="718D8C31">
            <w:r>
              <w:rPr>
                <w:rFonts w:hint="eastAsia"/>
              </w:rPr>
              <w:t>六类堵点诊断与排序</w:t>
            </w:r>
          </w:p>
        </w:tc>
      </w:tr>
      <w:tr w14:paraId="6EDE12E9">
        <w:tc>
          <w:tcPr>
            <w:tcW w:w="1223" w:type="dxa"/>
          </w:tcPr>
          <w:p w14:paraId="434AE025">
            <w:r>
              <w:rPr>
                <w:rFonts w:hint="eastAsia"/>
              </w:rPr>
              <w:t>政策获得感</w:t>
            </w:r>
          </w:p>
        </w:tc>
        <w:tc>
          <w:tcPr>
            <w:tcW w:w="987" w:type="dxa"/>
          </w:tcPr>
          <w:p w14:paraId="736B19BD">
            <w:r>
              <w:t>Q41—Q46</w:t>
            </w:r>
          </w:p>
        </w:tc>
        <w:tc>
          <w:tcPr>
            <w:tcW w:w="1488" w:type="dxa"/>
          </w:tcPr>
          <w:p w14:paraId="2EEB69CE">
            <w:r>
              <w:rPr>
                <w:rFonts w:hint="eastAsia"/>
              </w:rPr>
              <w:t>量表/多选</w:t>
            </w:r>
          </w:p>
        </w:tc>
        <w:tc>
          <w:tcPr>
            <w:tcW w:w="2075" w:type="dxa"/>
          </w:tcPr>
          <w:p w14:paraId="5EED5045">
            <w:r>
              <w:rPr>
                <w:rFonts w:hint="eastAsia"/>
              </w:rPr>
              <w:t>0—5、0/1</w:t>
            </w:r>
          </w:p>
        </w:tc>
        <w:tc>
          <w:tcPr>
            <w:tcW w:w="2532" w:type="dxa"/>
          </w:tcPr>
          <w:p w14:paraId="6CD9A355">
            <w:r>
              <w:rPr>
                <w:rFonts w:hint="eastAsia"/>
              </w:rPr>
              <w:t>机制五、政策闭环</w:t>
            </w:r>
          </w:p>
        </w:tc>
      </w:tr>
      <w:tr w14:paraId="44E433E0">
        <w:tc>
          <w:tcPr>
            <w:tcW w:w="1223" w:type="dxa"/>
          </w:tcPr>
          <w:p w14:paraId="5846E3BD">
            <w:r>
              <w:rPr>
                <w:rFonts w:hint="eastAsia"/>
              </w:rPr>
              <w:t>融合绩效</w:t>
            </w:r>
          </w:p>
        </w:tc>
        <w:tc>
          <w:tcPr>
            <w:tcW w:w="987" w:type="dxa"/>
          </w:tcPr>
          <w:p w14:paraId="485F2B2D">
            <w:r>
              <w:t>Q47—Q50</w:t>
            </w:r>
          </w:p>
        </w:tc>
        <w:tc>
          <w:tcPr>
            <w:tcW w:w="1488" w:type="dxa"/>
          </w:tcPr>
          <w:p w14:paraId="3BA764BA">
            <w:r>
              <w:rPr>
                <w:rFonts w:hint="eastAsia"/>
              </w:rPr>
              <w:t>量表/数值</w:t>
            </w:r>
          </w:p>
        </w:tc>
        <w:tc>
          <w:tcPr>
            <w:tcW w:w="2075" w:type="dxa"/>
          </w:tcPr>
          <w:p w14:paraId="680D7A1A">
            <w:r>
              <w:rPr>
                <w:rFonts w:hint="eastAsia"/>
              </w:rPr>
              <w:t>1—5、金额与占比</w:t>
            </w:r>
          </w:p>
        </w:tc>
        <w:tc>
          <w:tcPr>
            <w:tcW w:w="2532" w:type="dxa"/>
          </w:tcPr>
          <w:p w14:paraId="7A49BA1D">
            <w:r>
              <w:rPr>
                <w:rFonts w:hint="eastAsia"/>
              </w:rPr>
              <w:t>发展绩效维度</w:t>
            </w:r>
          </w:p>
        </w:tc>
      </w:tr>
    </w:tbl>
    <w:p w14:paraId="163E95DC">
      <w:pPr>
        <w:ind w:firstLine="420" w:firstLineChars="200"/>
      </w:pPr>
      <w:r>
        <w:rPr>
          <w:rFonts w:hint="eastAsia"/>
          <w:b/>
        </w:rPr>
        <w:t>处理规则：</w:t>
      </w:r>
      <w:r>
        <w:rPr>
          <w:rFonts w:hint="eastAsia"/>
        </w:rPr>
        <w:t>Q47 中带"*"的逆向指标（研发设计周期、产品不良率、库存周转天数、订单交付周期、单位产值能耗）在分析前需正向化处理；Q18、Q39、Q45 含排序信息，按排序位次分别赋权（如第一顺位 3 分、第二顺位 2 分、第三顺位 1 分）计算综合得分。</w:t>
      </w:r>
    </w:p>
    <w:p w14:paraId="799F2112">
      <w:pPr>
        <w:keepNext/>
        <w:keepLines/>
        <w:spacing w:before="100" w:beforeAutospacing="1" w:after="100" w:afterAutospacing="1"/>
        <w:outlineLvl w:val="1"/>
        <w:rPr>
          <w:sz w:val="32"/>
          <w:szCs w:val="32"/>
        </w:rPr>
      </w:pPr>
      <w:r>
        <w:rPr>
          <w:rFonts w:hint="eastAsia"/>
          <w:b/>
          <w:sz w:val="32"/>
        </w:rPr>
        <w:t>（五）深度访谈提纲设计</w:t>
      </w:r>
    </w:p>
    <w:p w14:paraId="3AA2152D">
      <w:pPr>
        <w:ind w:firstLine="420" w:firstLineChars="200"/>
      </w:pPr>
      <w:r>
        <w:rPr>
          <w:rFonts w:hint="eastAsia"/>
        </w:rPr>
        <w:t>访谈用于补充和解释问卷数据，建议在 150 份问卷基础上选取 15—20 家代表性企业开展，每家访谈 60—90 分钟；经受访者同意后录音并整理文字稿。访谈不逐题念读，按提纲引导，鼓励受访者举例说明。三类对象分别使用对应提纲，共性问题用于交叉验证。</w:t>
      </w:r>
    </w:p>
    <w:p w14:paraId="3F6278F8">
      <w:pPr>
        <w:ind w:firstLine="420" w:firstLineChars="200"/>
      </w:pPr>
      <w:r>
        <w:rPr>
          <w:rFonts w:hint="eastAsia"/>
          <w:b/>
        </w:rPr>
        <w:t>1. 链主/龙头企业访谈提纲（建议 6—7 家）</w:t>
      </w:r>
      <w:r>
        <w:rPr>
          <w:rFonts w:hint="eastAsia"/>
        </w:rPr>
        <w:t>：① 数字化转型的阶段历程、标志性事件、投入规模与决策逻辑；② 工业数据底座的搭建方式与研发、生产、质量、供应链数据的打通程度及治理难点；③ AI 辅助研发、工艺优化、质量检测、预测性维护等场景中真正创造可量化价值的环节与投资回收期；④ 向配套供应商开放订单、排产、质量标准和数字化接口的情况，配套企业"接不上链"的原因；⑤ 内部数字化能力平台化、对外输出服务的情况与商业模式变化；⑥ 对行业工业互联网平台、产业大脑和可信数据空间的态度与参与意愿；⑦ 数字化人才结构及复合型人才的获得渠道；⑧ 近三年享受政策的效果评价与申报兑现问题；⑨ 未来三年数字化路线图、投入计划与需要政府补位的环节；⑩ 作为链主承担产业链协同赋能公共责任的条件。</w:t>
      </w:r>
    </w:p>
    <w:p w14:paraId="5658E33A">
      <w:pPr>
        <w:ind w:firstLine="420" w:firstLineChars="200"/>
      </w:pPr>
      <w:r>
        <w:rPr>
          <w:rFonts w:hint="eastAsia"/>
          <w:b/>
        </w:rPr>
        <w:t>2. 中小配套企业访谈提纲（建议 7—8 家）</w:t>
      </w:r>
      <w:r>
        <w:rPr>
          <w:rFonts w:hint="eastAsia"/>
        </w:rPr>
        <w:t>：① 当前数字化水平、最先改造的环节与实际效果；② 转型决策的形成过程（自身需要、客户/链主要求或政策引导）；③ 资金压力、典型改造投入、回收期与运维成本；④ "不会转、不敢转、不能转"的具体表现与最卡环节；⑤ 轻量化工业 APP、订阅制软件、"数改券"的使用体验；⑥ 链主或行业平台提出的数字化要求、提供的工具/培训/补贴及接入后的收益与负担；⑦ 共享中试、共享检测、共享算力、供应链金融等公共服务的可及性与效果；⑧ 数据外部交换的意愿与顾虑；⑨ 政策了解程度、申报困难与改进期望；⑩ 若政府只做三件事帮助中小企业转型，最希望是哪三件。</w:t>
      </w:r>
    </w:p>
    <w:p w14:paraId="795B87D9">
      <w:pPr>
        <w:ind w:firstLine="420" w:firstLineChars="200"/>
      </w:pPr>
      <w:r>
        <w:rPr>
          <w:rFonts w:hint="eastAsia"/>
          <w:b/>
        </w:rPr>
        <w:t>3. 园区平台/数字化服务商访谈提纲（建议 3—5 家）</w:t>
      </w:r>
      <w:r>
        <w:rPr>
          <w:rFonts w:hint="eastAsia"/>
        </w:rPr>
        <w:t>：① 提供的数字化公共服务、服务企业数量、活跃度与典型案例；② 企业反映最集中的共性需求与堵点，四大产业之间的差异；③ 公共技术平台（EDA 云、流片、中试、检测认证、算力）的供给缺口与建设运营难点；④ 公共服务属性与商业化可持续运营的平衡；⑤ 行业可信数据空间、高质量工业数据集的建设进展与顾虑化解；⑥ 数字化服务商生态健全程度与"小快轻准"产品供给；⑦ 梯度工厂培育中企业进阶的主要障碍；⑧ 现有政策落地执行中的碎片化、重复与空白；⑨ 从平台视角看"诊断—实施—评估—迭代"闭环机制应如何建立、需要哪些监测指标；⑩ 对钱塘区打造融合创新生态、形成可复制经验的具体建议。</w:t>
      </w:r>
    </w:p>
    <w:p w14:paraId="1905F6F2">
      <w:pPr>
        <w:keepNext/>
        <w:keepLines/>
        <w:spacing w:before="100" w:beforeAutospacing="1" w:after="100" w:afterAutospacing="1"/>
        <w:outlineLvl w:val="1"/>
        <w:rPr>
          <w:sz w:val="32"/>
          <w:szCs w:val="32"/>
        </w:rPr>
      </w:pPr>
      <w:r>
        <w:rPr>
          <w:rFonts w:hint="eastAsia"/>
          <w:b/>
          <w:sz w:val="32"/>
        </w:rPr>
        <w:t>（六）信度效度、分析方法与结果回填</w:t>
      </w:r>
    </w:p>
    <w:p w14:paraId="38AEBA0F">
      <w:pPr>
        <w:ind w:firstLine="420" w:firstLineChars="200"/>
      </w:pPr>
      <w:r>
        <w:rPr>
          <w:rFonts w:hint="eastAsia"/>
          <w:b/>
        </w:rPr>
        <w:t>1. 信度与效度检验。</w:t>
      </w:r>
      <w:r>
        <w:rPr>
          <w:rFonts w:hint="eastAsia"/>
        </w:rPr>
        <w:t xml:space="preserve"> Q20、Q25、Q31、Q38、Q43、Q47 等量表题组先进行项目分析，采用 Cronbach's α 系数检验内部一致性（建议 α≥0.7），采用探索性因子分析（KMO 检验与 Bartlett 球形检验）检验结构效度，并以五大机制为预设维度进行验证性因子分析；正式调查前先发放 20—30 份开展预调研，据此修订表述歧义题项。</w:t>
      </w:r>
    </w:p>
    <w:p w14:paraId="0D8502C5">
      <w:pPr>
        <w:ind w:firstLine="420" w:firstLineChars="200"/>
      </w:pPr>
      <w:r>
        <w:rPr>
          <w:rFonts w:hint="eastAsia"/>
          <w:b/>
        </w:rPr>
        <w:t>2. 描述与比较分析。</w:t>
      </w:r>
      <w:r>
        <w:rPr>
          <w:rFonts w:hint="eastAsia"/>
        </w:rPr>
        <w:t xml:space="preserve"> 报告各变量的频数、均值、标准差；按产业（Q2）、规模（Q7/Q8）、产业链角色（Q4）、转型阶段（Q15）分组，运用卡方检验、单因素方差分析（ANOVA）或非参数检验识别异质性，支撑"产业、规模、链位三类异质性"判断。</w:t>
      </w:r>
    </w:p>
    <w:p w14:paraId="6B63982D">
      <w:pPr>
        <w:ind w:firstLine="420" w:firstLineChars="200"/>
      </w:pPr>
      <w:r>
        <w:rPr>
          <w:rFonts w:hint="eastAsia"/>
          <w:b/>
        </w:rPr>
        <w:t>3. 机制与影响因素分析。</w:t>
      </w:r>
      <w:r>
        <w:rPr>
          <w:rFonts w:hint="eastAsia"/>
        </w:rPr>
        <w:t xml:space="preserve"> 以融合绩效（Q47/Q49）为因变量，以投入能力、数据治理、场景应用、链群协同、政策获得感为自变量，构建有序 Logistic 回归或结构方程模型，检验五大机制对融合绩效的作用路径与强度。</w:t>
      </w:r>
    </w:p>
    <w:p w14:paraId="33E68092">
      <w:pPr>
        <w:ind w:firstLine="420" w:firstLineChars="200"/>
      </w:pPr>
      <w:r>
        <w:rPr>
          <w:rFonts w:hint="eastAsia"/>
          <w:b/>
        </w:rPr>
        <w:t>4. 质性资料分析。</w:t>
      </w:r>
      <w:r>
        <w:rPr>
          <w:rFonts w:hint="eastAsia"/>
        </w:rPr>
        <w:t xml:space="preserve"> 访谈文字稿采用主题分析法编码，按"数据—场景—能力—协同—政策—堵点"建立编码框架，由两名研究者独立编码并比对一致性，提炼典型案例和因果链条，与问卷统计结果、iFinD 上市公司面板数据进行三角验证。</w:t>
      </w:r>
    </w:p>
    <w:p w14:paraId="6884F992">
      <w:pPr>
        <w:ind w:firstLine="420" w:firstLineChars="200"/>
      </w:pPr>
      <w:r>
        <w:rPr>
          <w:rFonts w:hint="eastAsia"/>
          <w:b/>
        </w:rPr>
        <w:t>5. 结果回填。</w:t>
      </w:r>
      <w:r>
        <w:rPr>
          <w:rFonts w:hint="eastAsia"/>
        </w:rPr>
        <w:t xml:space="preserve"> 分析结果按评价指标体系回填调研报告相应章节；场景优先级（Q20—Q22）、堵点排序（Q38—Q40）、政策需求（Q45）直接支撑政策工具矩阵的优先级设计。</w:t>
      </w:r>
    </w:p>
    <w:p w14:paraId="61DFC12A">
      <w:pPr>
        <w:keepNext/>
        <w:keepLines/>
        <w:spacing w:before="100" w:beforeAutospacing="1" w:after="100" w:afterAutospacing="1"/>
        <w:outlineLvl w:val="1"/>
        <w:rPr>
          <w:sz w:val="32"/>
          <w:szCs w:val="32"/>
        </w:rPr>
      </w:pPr>
      <w:r>
        <w:rPr>
          <w:rFonts w:hint="eastAsia"/>
          <w:b/>
          <w:sz w:val="32"/>
        </w:rPr>
        <w:t>（七）质量控制与伦理合规</w:t>
      </w:r>
    </w:p>
    <w:p w14:paraId="074603DB">
      <w:pPr>
        <w:ind w:firstLine="420" w:firstLineChars="200"/>
      </w:pPr>
      <w:r>
        <w:rPr>
          <w:rFonts w:hint="eastAsia"/>
          <w:b/>
        </w:rPr>
        <w:t>1. 发放渠道。</w:t>
      </w:r>
      <w:r>
        <w:rPr>
          <w:rFonts w:hint="eastAsia"/>
        </w:rPr>
        <w:t xml:space="preserve"> 依托区经信科技部门、重点园区（杭州医药港、和达芯谷等）、行业协会和链主企业供应链体系，线上电子问卷与线下入企访谈相结合，线上问卷设置必答校验和逻辑跳转。</w:t>
      </w:r>
    </w:p>
    <w:p w14:paraId="3F5C57F3">
      <w:pPr>
        <w:ind w:firstLine="420" w:firstLineChars="200"/>
      </w:pPr>
      <w:r>
        <w:rPr>
          <w:rFonts w:hint="eastAsia"/>
          <w:b/>
        </w:rPr>
        <w:t>2. 质量控制。</w:t>
      </w:r>
      <w:r>
        <w:rPr>
          <w:rFonts w:hint="eastAsia"/>
        </w:rPr>
        <w:t xml:space="preserve"> 剔除规律性作答、前后矛盾和填写时长过短的问卷；随机抽取 10% 企业电话复核；同一企业的访谈信息与问卷信息相互校验。</w:t>
      </w:r>
    </w:p>
    <w:p w14:paraId="3462EB9B">
      <w:pPr>
        <w:ind w:firstLine="420" w:firstLineChars="200"/>
      </w:pPr>
      <w:r>
        <w:rPr>
          <w:rFonts w:hint="eastAsia"/>
          <w:b/>
        </w:rPr>
        <w:t>3. 伦理与合规。</w:t>
      </w:r>
      <w:r>
        <w:rPr>
          <w:rFonts w:hint="eastAsia"/>
        </w:rPr>
        <w:t xml:space="preserve"> 匿名采集、自愿参与，明确数据仅用于课题研究和政策建议，不采集商业秘密明细，涉及企业名称的案例引用须经受访企业同意。</w:t>
      </w:r>
    </w:p>
    <w:p w14:paraId="247DB30E">
      <w:pPr>
        <w:keepNext/>
        <w:keepLines/>
        <w:spacing w:before="100" w:beforeAutospacing="1" w:after="100" w:afterAutospacing="1"/>
        <w:outlineLvl w:val="0"/>
        <w:rPr>
          <w:kern w:val="44"/>
          <w:sz w:val="44"/>
          <w:szCs w:val="44"/>
        </w:rPr>
      </w:pPr>
      <w:r>
        <w:rPr>
          <w:rFonts w:hint="eastAsia"/>
          <w:b/>
          <w:sz w:val="44"/>
        </w:rPr>
        <w:t>七、研究进度计划</w:t>
      </w:r>
    </w:p>
    <w:p w14:paraId="6CA166C3">
      <w:r>
        <w:rPr>
          <w:rFonts w:hint="eastAsia"/>
        </w:rPr>
        <w:t>课题于 2026 年 8 月启动，2026 年 10 月完成，分三个阶段推进。</w:t>
      </w:r>
    </w:p>
    <w:p w14:paraId="67D83FD9">
      <w:pPr>
        <w:jc w:val="center"/>
      </w:pPr>
      <w:r>
        <w:rPr>
          <w:rFonts w:hint="eastAsia"/>
          <w:b/>
        </w:rPr>
        <w:t>表 7-1　研究进度安排</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898"/>
        <w:gridCol w:w="975"/>
        <w:gridCol w:w="2625"/>
        <w:gridCol w:w="3806"/>
      </w:tblGrid>
      <w:tr w14:paraId="0522E1FA">
        <w:trPr>
          <w:tblHeader/>
        </w:trPr>
        <w:tc>
          <w:tcPr>
            <w:tcW w:w="898" w:type="dxa"/>
          </w:tcPr>
          <w:p w14:paraId="6E04DF23">
            <w:pPr>
              <w:rPr>
                <w:b/>
                <w:bCs/>
              </w:rPr>
            </w:pPr>
            <w:r>
              <w:rPr>
                <w:rFonts w:hint="eastAsia"/>
                <w:b/>
              </w:rPr>
              <w:t>阶段</w:t>
            </w:r>
          </w:p>
        </w:tc>
        <w:tc>
          <w:tcPr>
            <w:tcW w:w="975" w:type="dxa"/>
          </w:tcPr>
          <w:p w14:paraId="69237F1D">
            <w:pPr>
              <w:rPr>
                <w:b/>
                <w:bCs/>
              </w:rPr>
            </w:pPr>
            <w:r>
              <w:rPr>
                <w:rFonts w:hint="eastAsia"/>
                <w:b/>
              </w:rPr>
              <w:t>时间</w:t>
            </w:r>
          </w:p>
        </w:tc>
        <w:tc>
          <w:tcPr>
            <w:tcW w:w="2625" w:type="dxa"/>
          </w:tcPr>
          <w:p w14:paraId="3C2BCC3F">
            <w:pPr>
              <w:rPr>
                <w:b/>
                <w:bCs/>
              </w:rPr>
            </w:pPr>
            <w:r>
              <w:rPr>
                <w:rFonts w:hint="eastAsia"/>
                <w:b/>
              </w:rPr>
              <w:t>主要任务</w:t>
            </w:r>
          </w:p>
        </w:tc>
        <w:tc>
          <w:tcPr>
            <w:tcW w:w="3806" w:type="dxa"/>
          </w:tcPr>
          <w:p w14:paraId="4373191A">
            <w:pPr>
              <w:rPr>
                <w:b/>
                <w:bCs/>
              </w:rPr>
            </w:pPr>
            <w:r>
              <w:rPr>
                <w:rFonts w:hint="eastAsia"/>
                <w:b/>
              </w:rPr>
              <w:t>阶段产出</w:t>
            </w:r>
          </w:p>
        </w:tc>
      </w:tr>
      <w:tr w14:paraId="3DF77595">
        <w:tc>
          <w:tcPr>
            <w:tcW w:w="898" w:type="dxa"/>
          </w:tcPr>
          <w:p w14:paraId="37F13980">
            <w:r>
              <w:rPr>
                <w:rFonts w:hint="eastAsia"/>
              </w:rPr>
              <w:t>第一阶段</w:t>
            </w:r>
          </w:p>
        </w:tc>
        <w:tc>
          <w:tcPr>
            <w:tcW w:w="975" w:type="dxa"/>
          </w:tcPr>
          <w:p w14:paraId="008555B3">
            <w:r>
              <w:rPr>
                <w:rFonts w:hint="eastAsia"/>
              </w:rPr>
              <w:t>2026 年 8 月</w:t>
            </w:r>
          </w:p>
        </w:tc>
        <w:tc>
          <w:tcPr>
            <w:tcW w:w="2625" w:type="dxa"/>
          </w:tcPr>
          <w:p w14:paraId="230D4A58">
            <w:r>
              <w:rPr>
                <w:rFonts w:hint="eastAsia"/>
              </w:rPr>
              <w:t>文献梳理、指标构建、政策文本整理、研究框架确立、问卷与访谈提纲设计</w:t>
            </w:r>
          </w:p>
        </w:tc>
        <w:tc>
          <w:tcPr>
            <w:tcW w:w="3806" w:type="dxa"/>
          </w:tcPr>
          <w:p w14:paraId="26710F7A">
            <w:r>
              <w:rPr>
                <w:rFonts w:hint="eastAsia"/>
              </w:rPr>
              <w:t>阶段性论文初稿《数字高端制造产业高频不确定性跨熵模糊指数构建与测度研究》（5 千字）；调研工具定稿</w:t>
            </w:r>
          </w:p>
        </w:tc>
      </w:tr>
      <w:tr w14:paraId="3BA626A0">
        <w:tc>
          <w:tcPr>
            <w:tcW w:w="898" w:type="dxa"/>
          </w:tcPr>
          <w:p w14:paraId="0AF717E0">
            <w:r>
              <w:rPr>
                <w:rFonts w:hint="eastAsia"/>
              </w:rPr>
              <w:t>第二阶段</w:t>
            </w:r>
          </w:p>
        </w:tc>
        <w:tc>
          <w:tcPr>
            <w:tcW w:w="975" w:type="dxa"/>
          </w:tcPr>
          <w:p w14:paraId="6407C45D">
            <w:r>
              <w:rPr>
                <w:rFonts w:hint="eastAsia"/>
              </w:rPr>
              <w:t>2026 年 9 月</w:t>
            </w:r>
          </w:p>
        </w:tc>
        <w:tc>
          <w:tcPr>
            <w:tcW w:w="2625" w:type="dxa"/>
          </w:tcPr>
          <w:p w14:paraId="5F84C385">
            <w:r>
              <w:rPr>
                <w:rFonts w:hint="eastAsia"/>
              </w:rPr>
              <w:t>钱塘区重点产业和企业调研；问卷发放与回收、深度访谈；场景地图和问题清单形成；机制分析与案例比较</w:t>
            </w:r>
          </w:p>
        </w:tc>
        <w:tc>
          <w:tcPr>
            <w:tcW w:w="3806" w:type="dxa"/>
          </w:tcPr>
          <w:p w14:paraId="23DED0DC">
            <w:r>
              <w:rPr>
                <w:rFonts w:hint="eastAsia"/>
              </w:rPr>
              <w:t>阶段性研究简报；场景图谱与堵点清单；问卷数据库</w:t>
            </w:r>
          </w:p>
        </w:tc>
      </w:tr>
      <w:tr w14:paraId="31CBCB11">
        <w:tc>
          <w:tcPr>
            <w:tcW w:w="898" w:type="dxa"/>
          </w:tcPr>
          <w:p w14:paraId="1767B072">
            <w:r>
              <w:rPr>
                <w:rFonts w:hint="eastAsia"/>
              </w:rPr>
              <w:t>第三阶段</w:t>
            </w:r>
          </w:p>
        </w:tc>
        <w:tc>
          <w:tcPr>
            <w:tcW w:w="975" w:type="dxa"/>
          </w:tcPr>
          <w:p w14:paraId="0C38FD42">
            <w:r>
              <w:rPr>
                <w:rFonts w:hint="eastAsia"/>
              </w:rPr>
              <w:t>2026 年 10 月</w:t>
            </w:r>
          </w:p>
        </w:tc>
        <w:tc>
          <w:tcPr>
            <w:tcW w:w="2625" w:type="dxa"/>
          </w:tcPr>
          <w:p w14:paraId="03B30F9A">
            <w:r>
              <w:rPr>
                <w:rFonts w:hint="eastAsia"/>
              </w:rPr>
              <w:t>数据清洗与统计分析、机制检验；报告撰写与修改；结项材料整理与提交</w:t>
            </w:r>
          </w:p>
        </w:tc>
        <w:tc>
          <w:tcPr>
            <w:tcW w:w="3806" w:type="dxa"/>
          </w:tcPr>
          <w:p w14:paraId="587E9125">
            <w:r>
              <w:rPr>
                <w:rFonts w:hint="eastAsia"/>
              </w:rPr>
              <w:t>综合调研报告（13 千字）、学术论文（5 千字）、结项材料</w:t>
            </w:r>
          </w:p>
        </w:tc>
      </w:tr>
    </w:tbl>
    <w:p w14:paraId="6A4FE4DC">
      <w:pPr>
        <w:keepNext/>
        <w:keepLines/>
        <w:spacing w:before="100" w:beforeAutospacing="1" w:after="100" w:afterAutospacing="1"/>
        <w:outlineLvl w:val="0"/>
        <w:rPr>
          <w:kern w:val="44"/>
          <w:sz w:val="44"/>
          <w:szCs w:val="44"/>
        </w:rPr>
      </w:pPr>
      <w:r>
        <w:rPr>
          <w:rFonts w:hint="eastAsia"/>
          <w:b/>
          <w:sz w:val="44"/>
        </w:rPr>
        <w:t>八、预期成果</w:t>
      </w:r>
    </w:p>
    <w:p w14:paraId="6304BA48">
      <w:pPr>
        <w:jc w:val="center"/>
      </w:pPr>
      <w:r>
        <w:rPr>
          <w:rFonts w:hint="eastAsia"/>
          <w:b/>
        </w:rPr>
        <w:t>表 8-1　预期研究成果</w:t>
      </w:r>
    </w:p>
    <w:tbl>
      <w:tblPr>
        <w:tblStyle w:val="3"/>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1010"/>
        <w:gridCol w:w="1238"/>
        <w:gridCol w:w="3962"/>
        <w:gridCol w:w="1063"/>
        <w:gridCol w:w="1032"/>
      </w:tblGrid>
      <w:tr w14:paraId="4340E384">
        <w:trPr>
          <w:tblHeader/>
        </w:trPr>
        <w:tc>
          <w:tcPr>
            <w:tcW w:w="1010" w:type="dxa"/>
          </w:tcPr>
          <w:p w14:paraId="34D5B3F7">
            <w:pPr>
              <w:rPr>
                <w:b/>
                <w:bCs/>
              </w:rPr>
            </w:pPr>
            <w:r>
              <w:rPr>
                <w:rFonts w:hint="eastAsia"/>
                <w:b/>
              </w:rPr>
              <w:t>成果类别</w:t>
            </w:r>
          </w:p>
        </w:tc>
        <w:tc>
          <w:tcPr>
            <w:tcW w:w="1238" w:type="dxa"/>
          </w:tcPr>
          <w:p w14:paraId="79959465">
            <w:pPr>
              <w:rPr>
                <w:b/>
                <w:bCs/>
              </w:rPr>
            </w:pPr>
            <w:r>
              <w:rPr>
                <w:rFonts w:hint="eastAsia"/>
                <w:b/>
              </w:rPr>
              <w:t>完成时间</w:t>
            </w:r>
          </w:p>
        </w:tc>
        <w:tc>
          <w:tcPr>
            <w:tcW w:w="3962" w:type="dxa"/>
          </w:tcPr>
          <w:p w14:paraId="0362CB3C">
            <w:pPr>
              <w:rPr>
                <w:b/>
                <w:bCs/>
              </w:rPr>
            </w:pPr>
            <w:r>
              <w:rPr>
                <w:rFonts w:hint="eastAsia"/>
                <w:b/>
              </w:rPr>
              <w:t>成果名称</w:t>
            </w:r>
          </w:p>
        </w:tc>
        <w:tc>
          <w:tcPr>
            <w:tcW w:w="1063" w:type="dxa"/>
          </w:tcPr>
          <w:p w14:paraId="5428621F">
            <w:pPr>
              <w:rPr>
                <w:b/>
                <w:bCs/>
              </w:rPr>
            </w:pPr>
            <w:r>
              <w:rPr>
                <w:rFonts w:hint="eastAsia"/>
                <w:b/>
              </w:rPr>
              <w:t>成果形式</w:t>
            </w:r>
          </w:p>
        </w:tc>
        <w:tc>
          <w:tcPr>
            <w:tcW w:w="1032" w:type="dxa"/>
          </w:tcPr>
          <w:p w14:paraId="1993057A">
            <w:pPr>
              <w:rPr>
                <w:b/>
                <w:bCs/>
              </w:rPr>
            </w:pPr>
            <w:r>
              <w:rPr>
                <w:rFonts w:hint="eastAsia"/>
                <w:b/>
              </w:rPr>
              <w:t>预计字数</w:t>
            </w:r>
          </w:p>
        </w:tc>
      </w:tr>
      <w:tr w14:paraId="17C00E6B">
        <w:tc>
          <w:tcPr>
            <w:tcW w:w="1010" w:type="dxa"/>
          </w:tcPr>
          <w:p w14:paraId="6FD82106">
            <w:r>
              <w:rPr>
                <w:rFonts w:hint="eastAsia"/>
              </w:rPr>
              <w:t>阶段性成果</w:t>
            </w:r>
          </w:p>
        </w:tc>
        <w:tc>
          <w:tcPr>
            <w:tcW w:w="1238" w:type="dxa"/>
          </w:tcPr>
          <w:p w14:paraId="7A7DE92C">
            <w:r>
              <w:rPr>
                <w:rFonts w:hint="eastAsia"/>
              </w:rPr>
              <w:t>2026 年 8 月</w:t>
            </w:r>
          </w:p>
        </w:tc>
        <w:tc>
          <w:tcPr>
            <w:tcW w:w="3962" w:type="dxa"/>
          </w:tcPr>
          <w:p w14:paraId="56171F41">
            <w:r>
              <w:rPr>
                <w:rFonts w:hint="eastAsia"/>
              </w:rPr>
              <w:t>数字高端制造产业高频不确定性跨熵模糊指数构建与测度研究</w:t>
            </w:r>
          </w:p>
        </w:tc>
        <w:tc>
          <w:tcPr>
            <w:tcW w:w="1063" w:type="dxa"/>
          </w:tcPr>
          <w:p w14:paraId="5F34FF4B">
            <w:r>
              <w:rPr>
                <w:rFonts w:hint="eastAsia"/>
              </w:rPr>
              <w:t>初稿</w:t>
            </w:r>
          </w:p>
        </w:tc>
        <w:tc>
          <w:tcPr>
            <w:tcW w:w="1032" w:type="dxa"/>
          </w:tcPr>
          <w:p w14:paraId="60F66ED0">
            <w:r>
              <w:rPr>
                <w:rFonts w:hint="eastAsia"/>
              </w:rPr>
              <w:t>5 千字</w:t>
            </w:r>
          </w:p>
        </w:tc>
      </w:tr>
      <w:tr w14:paraId="61198DC3">
        <w:tc>
          <w:tcPr>
            <w:tcW w:w="1010" w:type="dxa"/>
          </w:tcPr>
          <w:p w14:paraId="546DA67D">
            <w:r>
              <w:rPr>
                <w:rFonts w:hint="eastAsia"/>
              </w:rPr>
              <w:t>最终成果</w:t>
            </w:r>
          </w:p>
        </w:tc>
        <w:tc>
          <w:tcPr>
            <w:tcW w:w="1238" w:type="dxa"/>
          </w:tcPr>
          <w:p w14:paraId="4C634036">
            <w:r>
              <w:rPr>
                <w:rFonts w:hint="eastAsia"/>
              </w:rPr>
              <w:t>2026 年 10 月</w:t>
            </w:r>
          </w:p>
        </w:tc>
        <w:tc>
          <w:tcPr>
            <w:tcW w:w="3962" w:type="dxa"/>
          </w:tcPr>
          <w:p w14:paraId="2E749A79">
            <w:r>
              <w:rPr>
                <w:rFonts w:hint="eastAsia"/>
              </w:rPr>
              <w:t>跨熵模糊指数构建——数字高端制造产业高频不确定性与资产收益传导机制实证</w:t>
            </w:r>
          </w:p>
        </w:tc>
        <w:tc>
          <w:tcPr>
            <w:tcW w:w="1063" w:type="dxa"/>
          </w:tcPr>
          <w:p w14:paraId="375838B3">
            <w:r>
              <w:rPr>
                <w:rFonts w:hint="eastAsia"/>
              </w:rPr>
              <w:t>论文</w:t>
            </w:r>
          </w:p>
        </w:tc>
        <w:tc>
          <w:tcPr>
            <w:tcW w:w="1032" w:type="dxa"/>
          </w:tcPr>
          <w:p w14:paraId="79B70CDE">
            <w:r>
              <w:rPr>
                <w:rFonts w:hint="eastAsia"/>
              </w:rPr>
              <w:t>5 千字</w:t>
            </w:r>
          </w:p>
        </w:tc>
      </w:tr>
      <w:tr w14:paraId="4285F225">
        <w:tc>
          <w:tcPr>
            <w:tcW w:w="1010" w:type="dxa"/>
          </w:tcPr>
          <w:p w14:paraId="2C3F7541">
            <w:r>
              <w:rPr>
                <w:rFonts w:hint="eastAsia"/>
              </w:rPr>
              <w:t>最终成果</w:t>
            </w:r>
          </w:p>
        </w:tc>
        <w:tc>
          <w:tcPr>
            <w:tcW w:w="1238" w:type="dxa"/>
          </w:tcPr>
          <w:p w14:paraId="25C64D57">
            <w:r>
              <w:rPr>
                <w:rFonts w:hint="eastAsia"/>
              </w:rPr>
              <w:t>2026 年 10 月</w:t>
            </w:r>
          </w:p>
        </w:tc>
        <w:tc>
          <w:tcPr>
            <w:tcW w:w="3962" w:type="dxa"/>
          </w:tcPr>
          <w:p w14:paraId="7583A782">
            <w:r>
              <w:rPr>
                <w:rFonts w:hint="eastAsia"/>
              </w:rPr>
              <w:t>数字经济与高端制造业融合创新发展机制研究及对策建议</w:t>
            </w:r>
          </w:p>
        </w:tc>
        <w:tc>
          <w:tcPr>
            <w:tcW w:w="1063" w:type="dxa"/>
          </w:tcPr>
          <w:p w14:paraId="3E548787">
            <w:r>
              <w:rPr>
                <w:rFonts w:hint="eastAsia"/>
              </w:rPr>
              <w:t>调研报告</w:t>
            </w:r>
          </w:p>
        </w:tc>
        <w:tc>
          <w:tcPr>
            <w:tcW w:w="1032" w:type="dxa"/>
          </w:tcPr>
          <w:p w14:paraId="62DC8F32">
            <w:r>
              <w:rPr>
                <w:rFonts w:hint="eastAsia"/>
              </w:rPr>
              <w:t>13 千字</w:t>
            </w:r>
          </w:p>
        </w:tc>
      </w:tr>
    </w:tbl>
    <w:p w14:paraId="78F11ED4">
      <w:pPr>
        <w:ind w:firstLine="420" w:firstLineChars="200"/>
      </w:pPr>
      <w:r>
        <w:rPr>
          <w:rFonts w:hint="eastAsia"/>
          <w:b/>
        </w:rPr>
        <w:t>成果去向。</w:t>
      </w:r>
      <w:r>
        <w:rPr>
          <w:rFonts w:hint="eastAsia"/>
        </w:rPr>
        <w:t xml:space="preserve"> 综合调研报告报送区社科联及相关职能部门；政策建议部分服务钱塘区经信科技、发展改革、商务、金融和园区管理等部门；学术论文围绕数字经济融合机制、高端制造业创新绩效和区域产业政策评估展开。</w:t>
      </w:r>
    </w:p>
    <w:p w14:paraId="4B0E0CAE">
      <w:pPr>
        <w:ind w:firstLine="420" w:firstLineChars="200"/>
      </w:pPr>
      <w:r>
        <w:rPr>
          <w:rFonts w:hint="eastAsia"/>
          <w:b/>
        </w:rPr>
        <w:t>配套交付物。</w:t>
      </w:r>
      <w:r>
        <w:rPr>
          <w:rFonts w:hint="eastAsia"/>
        </w:rPr>
        <w:t xml:space="preserve"> 除上述成果外，课题组同步形成：高端制造业数实融合场景清单（含九环节场景图谱与优先级）、企业数字化能力诊断框架、融合创新绩效评价指标体系、政策工具矩阵与近期行动清单、调研问卷数据库与访谈文字稿（内部资料）。</w:t>
      </w:r>
      <w:bookmarkStart w:id="0" w:name="_GoBack"/>
      <w:bookmarkEnd w:id="0"/>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D5283"/>
    <w:multiLevelType w:val="singleLevel"/>
    <w:tmpl w:val="FAFD5283"/>
    <w:lvl w:ilvl="0" w:tentative="0">
      <w:start w:val="1"/>
      <w:numFmt w:val="decimal"/>
      <w:lvlText w:val="%1."/>
      <w:lvlJc w:val="left"/>
      <w:pPr>
        <w:ind w:left="420" w:hanging="420"/>
      </w:pPr>
    </w:lvl>
  </w:abstractNum>
  <w:abstractNum w:abstractNumId="1">
    <w:nsid w:val="7DFBCB14"/>
    <w:multiLevelType w:val="singleLevel"/>
    <w:tmpl w:val="7DFBCB14"/>
    <w:lvl w:ilvl="0" w:tentative="0">
      <w:start w:val="1"/>
      <w:numFmt w:val="decimal"/>
      <w:lvlText w:val="%1."/>
      <w:lvlJc w:val="left"/>
      <w:pPr>
        <w:ind w:left="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420"/>
  <w:compat>
    <w:spaceForUL/>
    <w:balanceSingleByteDoubleByteWidth/>
    <w:doNotLeaveBackslashAlone/>
    <w:ulTrailSpace/>
    <w:doNotExpandShiftReturn/>
    <w:adjustLineHeightInTable/>
    <w:compatSetting w:name="compatibilityMode" w:uri="http://schemas.microsoft.com/office/word" w:val="12"/>
  </w:compat>
  <w:rsids>
    <w:rsidRoot w:val="00000000"/>
    <w:rsid w:val="FABFE7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left"/>
    </w:pPr>
    <w:rPr>
      <w:sz w:val="21"/>
      <w:szCs w:val="22"/>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8</TotalTime>
  <ScaleCrop>false</ScaleCrop>
  <LinksUpToDate>false</LinksUpToDate>
  <Application>WPS Office_12.1.26046.26046_F1E327BC-269C-435d-A152-05C5408002CA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2026-09-15T18:53:00Z</dcterms:created>
  <dc:creator>Data</dc:creator>
  <cp:lastModifiedBy>倪禾</cp:lastModifiedBy>
  <dcterms:modified xsi:type="dcterms:W3CDTF">2026-09-15T11:08:58Z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1033-12.1.26046.26046</vt:lpwstr>
  </property>
  <property fmtid="{D5CDD505-2E9C-101B-9397-08002B2CF9AE}" pid="3" name="ICV">
    <vt:lpwstr>19E12C2DC8EC6E1FCAB6A86A709099BE_42</vt:lpwstr>
  </property>
</Properties>
</file>